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4C2A" w:rsidRPr="00835B2D" w:rsidRDefault="008D698E" w:rsidP="00094C2A">
      <w:pPr>
        <w:pStyle w:val="Titre1"/>
        <w:jc w:val="center"/>
        <w:rPr>
          <w:b/>
          <w:bCs/>
          <w:sz w:val="36"/>
          <w:szCs w:val="36"/>
        </w:rPr>
      </w:pPr>
      <w:r w:rsidRPr="00835B2D">
        <w:rPr>
          <w:b/>
          <w:bCs/>
          <w:sz w:val="36"/>
          <w:szCs w:val="36"/>
        </w:rPr>
        <w:t xml:space="preserve">Réunion </w:t>
      </w:r>
      <w:r w:rsidR="00094C2A" w:rsidRPr="00835B2D">
        <w:rPr>
          <w:b/>
          <w:bCs/>
          <w:sz w:val="36"/>
          <w:szCs w:val="36"/>
        </w:rPr>
        <w:t>des Délégués du Personnel</w:t>
      </w:r>
      <w:r w:rsidR="00585D4D">
        <w:rPr>
          <w:b/>
          <w:bCs/>
          <w:sz w:val="36"/>
          <w:szCs w:val="36"/>
        </w:rPr>
        <w:t xml:space="preserve"> </w:t>
      </w:r>
    </w:p>
    <w:p w:rsidR="00094C2A" w:rsidRPr="00835B2D" w:rsidRDefault="00094C2A" w:rsidP="00094C2A">
      <w:pPr>
        <w:jc w:val="center"/>
        <w:rPr>
          <w:rFonts w:ascii="Arial" w:hAnsi="Arial" w:cs="Arial"/>
          <w:sz w:val="36"/>
          <w:szCs w:val="36"/>
        </w:rPr>
      </w:pPr>
      <w:r w:rsidRPr="00835B2D">
        <w:rPr>
          <w:rFonts w:ascii="Arial" w:hAnsi="Arial" w:cs="Arial"/>
          <w:sz w:val="36"/>
          <w:szCs w:val="36"/>
        </w:rPr>
        <w:t>Service ISO Toulouse</w:t>
      </w:r>
    </w:p>
    <w:p w:rsidR="00585D4D" w:rsidRPr="00835B2D" w:rsidRDefault="00585D4D" w:rsidP="00585D4D">
      <w:pPr>
        <w:jc w:val="center"/>
        <w:rPr>
          <w:rFonts w:ascii="Arial" w:hAnsi="Arial" w:cs="Arial"/>
          <w:sz w:val="36"/>
          <w:szCs w:val="36"/>
        </w:rPr>
      </w:pPr>
      <w:r>
        <w:rPr>
          <w:rFonts w:ascii="Arial" w:hAnsi="Arial" w:cs="Arial"/>
          <w:sz w:val="36"/>
          <w:szCs w:val="36"/>
        </w:rPr>
        <w:t>19 décembre</w:t>
      </w:r>
      <w:r w:rsidRPr="00835B2D">
        <w:rPr>
          <w:rFonts w:ascii="Arial" w:hAnsi="Arial" w:cs="Arial"/>
          <w:sz w:val="36"/>
          <w:szCs w:val="36"/>
        </w:rPr>
        <w:t xml:space="preserve"> 2013</w:t>
      </w:r>
    </w:p>
    <w:p w:rsidR="008D698E" w:rsidRPr="008D698E" w:rsidRDefault="008D698E" w:rsidP="008D698E">
      <w:pPr>
        <w:widowControl w:val="0"/>
        <w:tabs>
          <w:tab w:val="left" w:pos="596"/>
        </w:tabs>
        <w:autoSpaceDE w:val="0"/>
        <w:autoSpaceDN w:val="0"/>
        <w:spacing w:before="36" w:after="180" w:line="321" w:lineRule="auto"/>
        <w:rPr>
          <w:rFonts w:ascii="Arial" w:hAnsi="Arial" w:cs="Arial"/>
          <w:b/>
          <w:bCs/>
          <w:sz w:val="20"/>
          <w:szCs w:val="20"/>
        </w:rPr>
      </w:pPr>
    </w:p>
    <w:tbl>
      <w:tblPr>
        <w:tblStyle w:val="Grilledutableau"/>
        <w:tblpPr w:leftFromText="141" w:rightFromText="141" w:vertAnchor="text" w:horzAnchor="margin" w:tblpY="29"/>
        <w:tblW w:w="0" w:type="auto"/>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tblLook w:val="04A0" w:firstRow="1" w:lastRow="0" w:firstColumn="1" w:lastColumn="0" w:noHBand="0" w:noVBand="1"/>
      </w:tblPr>
      <w:tblGrid>
        <w:gridCol w:w="2303"/>
        <w:gridCol w:w="2303"/>
        <w:gridCol w:w="2303"/>
        <w:gridCol w:w="2303"/>
      </w:tblGrid>
      <w:tr w:rsidR="006147B3" w:rsidTr="005B0177">
        <w:tc>
          <w:tcPr>
            <w:tcW w:w="9212" w:type="dxa"/>
            <w:gridSpan w:val="4"/>
            <w:tcBorders>
              <w:bottom w:val="single" w:sz="18" w:space="0" w:color="auto"/>
            </w:tcBorders>
            <w:shd w:val="clear" w:color="auto" w:fill="A6A6A6" w:themeFill="background1" w:themeFillShade="A6"/>
          </w:tcPr>
          <w:p w:rsidR="006147B3" w:rsidRPr="006147B3" w:rsidRDefault="006147B3" w:rsidP="006147B3">
            <w:pPr>
              <w:keepNext/>
              <w:widowControl w:val="0"/>
              <w:autoSpaceDE w:val="0"/>
              <w:autoSpaceDN w:val="0"/>
              <w:spacing w:before="216"/>
              <w:jc w:val="center"/>
              <w:outlineLvl w:val="3"/>
              <w:rPr>
                <w:rFonts w:ascii="Arial" w:hAnsi="Arial" w:cs="Arial"/>
                <w:b/>
                <w:bCs/>
              </w:rPr>
            </w:pPr>
            <w:r w:rsidRPr="006147B3">
              <w:rPr>
                <w:rFonts w:ascii="Arial" w:hAnsi="Arial" w:cs="Arial"/>
                <w:b/>
                <w:bCs/>
              </w:rPr>
              <w:t>COLLEGE UNIQUE</w:t>
            </w:r>
          </w:p>
        </w:tc>
      </w:tr>
      <w:tr w:rsidR="005B0177" w:rsidRPr="006147B3" w:rsidTr="005B0177">
        <w:tc>
          <w:tcPr>
            <w:tcW w:w="2303" w:type="dxa"/>
            <w:tcBorders>
              <w:top w:val="single" w:sz="18" w:space="0" w:color="auto"/>
              <w:left w:val="single" w:sz="18" w:space="0" w:color="auto"/>
              <w:bottom w:val="single" w:sz="2" w:space="0" w:color="auto"/>
              <w:right w:val="single" w:sz="2" w:space="0" w:color="auto"/>
            </w:tcBorders>
          </w:tcPr>
          <w:p w:rsidR="006147B3" w:rsidRPr="006147B3" w:rsidRDefault="006147B3" w:rsidP="006147B3">
            <w:pPr>
              <w:keepNext/>
              <w:widowControl w:val="0"/>
              <w:autoSpaceDE w:val="0"/>
              <w:autoSpaceDN w:val="0"/>
              <w:spacing w:before="216"/>
              <w:jc w:val="center"/>
              <w:outlineLvl w:val="3"/>
              <w:rPr>
                <w:rFonts w:ascii="Arial" w:hAnsi="Arial" w:cs="Arial"/>
                <w:b/>
                <w:bCs/>
                <w:sz w:val="20"/>
                <w:szCs w:val="20"/>
              </w:rPr>
            </w:pPr>
            <w:r w:rsidRPr="006147B3">
              <w:rPr>
                <w:rFonts w:ascii="Arial" w:hAnsi="Arial" w:cs="Arial"/>
                <w:b/>
                <w:bCs/>
                <w:sz w:val="20"/>
                <w:szCs w:val="20"/>
              </w:rPr>
              <w:t>TITULAIRE</w:t>
            </w:r>
            <w:r w:rsidR="005B0177">
              <w:rPr>
                <w:rFonts w:ascii="Arial" w:hAnsi="Arial" w:cs="Arial"/>
                <w:b/>
                <w:bCs/>
                <w:sz w:val="20"/>
                <w:szCs w:val="20"/>
              </w:rPr>
              <w:t>S</w:t>
            </w:r>
          </w:p>
        </w:tc>
        <w:tc>
          <w:tcPr>
            <w:tcW w:w="2303" w:type="dxa"/>
            <w:tcBorders>
              <w:top w:val="single" w:sz="18" w:space="0" w:color="auto"/>
              <w:left w:val="single" w:sz="2" w:space="0" w:color="auto"/>
              <w:bottom w:val="single" w:sz="2" w:space="0" w:color="auto"/>
              <w:right w:val="single" w:sz="2" w:space="0" w:color="auto"/>
            </w:tcBorders>
          </w:tcPr>
          <w:p w:rsidR="006147B3" w:rsidRPr="006147B3" w:rsidRDefault="006147B3" w:rsidP="006147B3">
            <w:pPr>
              <w:keepNext/>
              <w:widowControl w:val="0"/>
              <w:autoSpaceDE w:val="0"/>
              <w:autoSpaceDN w:val="0"/>
              <w:spacing w:before="216"/>
              <w:jc w:val="center"/>
              <w:outlineLvl w:val="3"/>
              <w:rPr>
                <w:rFonts w:ascii="Arial" w:hAnsi="Arial" w:cs="Arial"/>
                <w:b/>
                <w:bCs/>
                <w:sz w:val="20"/>
                <w:szCs w:val="20"/>
              </w:rPr>
            </w:pPr>
            <w:r w:rsidRPr="006147B3">
              <w:rPr>
                <w:rFonts w:ascii="Arial" w:hAnsi="Arial" w:cs="Arial"/>
                <w:b/>
                <w:bCs/>
                <w:sz w:val="20"/>
                <w:szCs w:val="20"/>
              </w:rPr>
              <w:t>PRESENT</w:t>
            </w:r>
          </w:p>
        </w:tc>
        <w:tc>
          <w:tcPr>
            <w:tcW w:w="2303" w:type="dxa"/>
            <w:tcBorders>
              <w:top w:val="single" w:sz="18" w:space="0" w:color="auto"/>
              <w:left w:val="single" w:sz="2" w:space="0" w:color="auto"/>
              <w:bottom w:val="single" w:sz="2" w:space="0" w:color="auto"/>
              <w:right w:val="single" w:sz="2" w:space="0" w:color="auto"/>
            </w:tcBorders>
          </w:tcPr>
          <w:p w:rsidR="006147B3" w:rsidRPr="006147B3" w:rsidRDefault="006147B3" w:rsidP="006147B3">
            <w:pPr>
              <w:keepNext/>
              <w:widowControl w:val="0"/>
              <w:autoSpaceDE w:val="0"/>
              <w:autoSpaceDN w:val="0"/>
              <w:spacing w:before="216"/>
              <w:jc w:val="center"/>
              <w:outlineLvl w:val="3"/>
              <w:rPr>
                <w:rFonts w:ascii="Arial" w:hAnsi="Arial" w:cs="Arial"/>
                <w:b/>
                <w:bCs/>
                <w:sz w:val="20"/>
                <w:szCs w:val="20"/>
              </w:rPr>
            </w:pPr>
            <w:r w:rsidRPr="006147B3">
              <w:rPr>
                <w:rFonts w:ascii="Arial" w:hAnsi="Arial" w:cs="Arial"/>
                <w:b/>
                <w:bCs/>
                <w:sz w:val="20"/>
                <w:szCs w:val="20"/>
              </w:rPr>
              <w:t>SUPPLEANTS</w:t>
            </w:r>
          </w:p>
        </w:tc>
        <w:tc>
          <w:tcPr>
            <w:tcW w:w="2303" w:type="dxa"/>
            <w:tcBorders>
              <w:top w:val="single" w:sz="18" w:space="0" w:color="auto"/>
              <w:left w:val="single" w:sz="2" w:space="0" w:color="auto"/>
              <w:bottom w:val="single" w:sz="2" w:space="0" w:color="auto"/>
              <w:right w:val="single" w:sz="18" w:space="0" w:color="auto"/>
            </w:tcBorders>
          </w:tcPr>
          <w:p w:rsidR="006147B3" w:rsidRPr="006147B3" w:rsidRDefault="006147B3" w:rsidP="006147B3">
            <w:pPr>
              <w:keepNext/>
              <w:widowControl w:val="0"/>
              <w:autoSpaceDE w:val="0"/>
              <w:autoSpaceDN w:val="0"/>
              <w:spacing w:before="216"/>
              <w:jc w:val="center"/>
              <w:outlineLvl w:val="3"/>
              <w:rPr>
                <w:rFonts w:ascii="Arial" w:hAnsi="Arial" w:cs="Arial"/>
                <w:b/>
                <w:bCs/>
                <w:sz w:val="20"/>
                <w:szCs w:val="20"/>
              </w:rPr>
            </w:pPr>
            <w:r w:rsidRPr="006147B3">
              <w:rPr>
                <w:rFonts w:ascii="Arial" w:hAnsi="Arial" w:cs="Arial"/>
                <w:b/>
                <w:bCs/>
                <w:sz w:val="20"/>
                <w:szCs w:val="20"/>
              </w:rPr>
              <w:t>PRESENT</w:t>
            </w:r>
          </w:p>
        </w:tc>
      </w:tr>
      <w:tr w:rsidR="005B0177" w:rsidRPr="006147B3" w:rsidTr="005B0177">
        <w:tc>
          <w:tcPr>
            <w:tcW w:w="2303" w:type="dxa"/>
            <w:tcBorders>
              <w:top w:val="single" w:sz="2" w:space="0" w:color="auto"/>
              <w:left w:val="single" w:sz="18" w:space="0" w:color="auto"/>
              <w:bottom w:val="single" w:sz="2" w:space="0" w:color="auto"/>
              <w:right w:val="single" w:sz="2" w:space="0" w:color="auto"/>
            </w:tcBorders>
          </w:tcPr>
          <w:p w:rsidR="006147B3" w:rsidRPr="006147B3" w:rsidRDefault="006147B3" w:rsidP="006147B3">
            <w:pPr>
              <w:keepNext/>
              <w:widowControl w:val="0"/>
              <w:autoSpaceDE w:val="0"/>
              <w:autoSpaceDN w:val="0"/>
              <w:spacing w:before="216"/>
              <w:jc w:val="center"/>
              <w:outlineLvl w:val="3"/>
              <w:rPr>
                <w:rFonts w:ascii="Arial" w:hAnsi="Arial" w:cs="Arial"/>
                <w:b/>
                <w:bCs/>
                <w:sz w:val="20"/>
                <w:szCs w:val="20"/>
              </w:rPr>
            </w:pPr>
            <w:r w:rsidRPr="006147B3">
              <w:rPr>
                <w:rFonts w:ascii="Arial" w:hAnsi="Arial" w:cs="Arial"/>
                <w:b/>
                <w:bCs/>
                <w:sz w:val="20"/>
                <w:szCs w:val="20"/>
              </w:rPr>
              <w:t>Gilles BEAUFILS</w:t>
            </w:r>
          </w:p>
        </w:tc>
        <w:tc>
          <w:tcPr>
            <w:tcW w:w="2303" w:type="dxa"/>
            <w:tcBorders>
              <w:top w:val="single" w:sz="2" w:space="0" w:color="auto"/>
              <w:left w:val="single" w:sz="2" w:space="0" w:color="auto"/>
              <w:bottom w:val="single" w:sz="2" w:space="0" w:color="auto"/>
              <w:right w:val="single" w:sz="2" w:space="0" w:color="auto"/>
            </w:tcBorders>
          </w:tcPr>
          <w:p w:rsidR="006147B3" w:rsidRPr="006147B3" w:rsidRDefault="006147B3" w:rsidP="006147B3">
            <w:pPr>
              <w:keepNext/>
              <w:widowControl w:val="0"/>
              <w:autoSpaceDE w:val="0"/>
              <w:autoSpaceDN w:val="0"/>
              <w:spacing w:before="216"/>
              <w:jc w:val="center"/>
              <w:outlineLvl w:val="3"/>
              <w:rPr>
                <w:rFonts w:ascii="Arial" w:hAnsi="Arial" w:cs="Arial"/>
                <w:b/>
                <w:bCs/>
                <w:sz w:val="20"/>
                <w:szCs w:val="20"/>
              </w:rPr>
            </w:pPr>
            <w:r w:rsidRPr="006147B3">
              <w:rPr>
                <w:rFonts w:ascii="Arial" w:hAnsi="Arial" w:cs="Arial"/>
                <w:b/>
                <w:bCs/>
                <w:sz w:val="20"/>
                <w:szCs w:val="20"/>
              </w:rPr>
              <w:t>X</w:t>
            </w:r>
          </w:p>
        </w:tc>
        <w:tc>
          <w:tcPr>
            <w:tcW w:w="2303" w:type="dxa"/>
            <w:tcBorders>
              <w:top w:val="single" w:sz="2" w:space="0" w:color="auto"/>
              <w:left w:val="single" w:sz="2" w:space="0" w:color="auto"/>
              <w:bottom w:val="single" w:sz="2" w:space="0" w:color="auto"/>
              <w:right w:val="single" w:sz="2" w:space="0" w:color="auto"/>
            </w:tcBorders>
          </w:tcPr>
          <w:p w:rsidR="006147B3" w:rsidRPr="006147B3" w:rsidRDefault="006147B3" w:rsidP="006147B3">
            <w:pPr>
              <w:keepNext/>
              <w:widowControl w:val="0"/>
              <w:autoSpaceDE w:val="0"/>
              <w:autoSpaceDN w:val="0"/>
              <w:spacing w:before="216"/>
              <w:jc w:val="center"/>
              <w:outlineLvl w:val="3"/>
              <w:rPr>
                <w:rFonts w:ascii="Arial" w:hAnsi="Arial" w:cs="Arial"/>
                <w:b/>
                <w:bCs/>
                <w:sz w:val="20"/>
                <w:szCs w:val="20"/>
              </w:rPr>
            </w:pPr>
            <w:r w:rsidRPr="006147B3">
              <w:rPr>
                <w:rFonts w:ascii="Arial" w:hAnsi="Arial" w:cs="Arial"/>
                <w:b/>
                <w:bCs/>
                <w:sz w:val="20"/>
                <w:szCs w:val="20"/>
              </w:rPr>
              <w:t>Grégoire LEWIS</w:t>
            </w:r>
          </w:p>
        </w:tc>
        <w:tc>
          <w:tcPr>
            <w:tcW w:w="2303" w:type="dxa"/>
            <w:tcBorders>
              <w:top w:val="single" w:sz="2" w:space="0" w:color="auto"/>
              <w:left w:val="single" w:sz="2" w:space="0" w:color="auto"/>
              <w:bottom w:val="single" w:sz="2" w:space="0" w:color="auto"/>
              <w:right w:val="single" w:sz="18" w:space="0" w:color="auto"/>
            </w:tcBorders>
          </w:tcPr>
          <w:p w:rsidR="006147B3" w:rsidRPr="006147B3" w:rsidRDefault="006147B3" w:rsidP="006147B3">
            <w:pPr>
              <w:keepNext/>
              <w:widowControl w:val="0"/>
              <w:autoSpaceDE w:val="0"/>
              <w:autoSpaceDN w:val="0"/>
              <w:spacing w:before="216"/>
              <w:jc w:val="center"/>
              <w:outlineLvl w:val="3"/>
              <w:rPr>
                <w:rFonts w:ascii="Arial" w:hAnsi="Arial" w:cs="Arial"/>
                <w:b/>
                <w:bCs/>
                <w:sz w:val="20"/>
                <w:szCs w:val="20"/>
              </w:rPr>
            </w:pPr>
            <w:r w:rsidRPr="006147B3">
              <w:rPr>
                <w:rFonts w:ascii="Arial" w:hAnsi="Arial" w:cs="Arial"/>
                <w:b/>
                <w:bCs/>
                <w:sz w:val="20"/>
                <w:szCs w:val="20"/>
              </w:rPr>
              <w:t>X</w:t>
            </w:r>
          </w:p>
        </w:tc>
      </w:tr>
      <w:tr w:rsidR="005B0177" w:rsidRPr="006147B3" w:rsidTr="005B0177">
        <w:tc>
          <w:tcPr>
            <w:tcW w:w="2303" w:type="dxa"/>
            <w:tcBorders>
              <w:top w:val="single" w:sz="2" w:space="0" w:color="auto"/>
              <w:left w:val="single" w:sz="18" w:space="0" w:color="auto"/>
              <w:bottom w:val="single" w:sz="18" w:space="0" w:color="auto"/>
              <w:right w:val="single" w:sz="2" w:space="0" w:color="auto"/>
            </w:tcBorders>
          </w:tcPr>
          <w:p w:rsidR="006147B3" w:rsidRPr="006147B3" w:rsidRDefault="006147B3" w:rsidP="006147B3">
            <w:pPr>
              <w:keepNext/>
              <w:widowControl w:val="0"/>
              <w:autoSpaceDE w:val="0"/>
              <w:autoSpaceDN w:val="0"/>
              <w:spacing w:before="216"/>
              <w:jc w:val="center"/>
              <w:outlineLvl w:val="3"/>
              <w:rPr>
                <w:rFonts w:ascii="Arial" w:hAnsi="Arial" w:cs="Arial"/>
                <w:b/>
                <w:bCs/>
                <w:sz w:val="20"/>
                <w:szCs w:val="20"/>
              </w:rPr>
            </w:pPr>
            <w:r w:rsidRPr="006147B3">
              <w:rPr>
                <w:rFonts w:ascii="Arial" w:hAnsi="Arial" w:cs="Arial"/>
                <w:b/>
                <w:bCs/>
                <w:sz w:val="20"/>
                <w:szCs w:val="20"/>
              </w:rPr>
              <w:t>Suzel LAVAGNE</w:t>
            </w:r>
          </w:p>
        </w:tc>
        <w:tc>
          <w:tcPr>
            <w:tcW w:w="2303" w:type="dxa"/>
            <w:tcBorders>
              <w:top w:val="single" w:sz="2" w:space="0" w:color="auto"/>
              <w:left w:val="single" w:sz="2" w:space="0" w:color="auto"/>
              <w:bottom w:val="single" w:sz="18" w:space="0" w:color="auto"/>
              <w:right w:val="single" w:sz="2" w:space="0" w:color="auto"/>
            </w:tcBorders>
          </w:tcPr>
          <w:p w:rsidR="006147B3" w:rsidRPr="006147B3" w:rsidRDefault="006147B3" w:rsidP="006147B3">
            <w:pPr>
              <w:keepNext/>
              <w:widowControl w:val="0"/>
              <w:autoSpaceDE w:val="0"/>
              <w:autoSpaceDN w:val="0"/>
              <w:spacing w:before="216"/>
              <w:jc w:val="center"/>
              <w:outlineLvl w:val="3"/>
              <w:rPr>
                <w:rFonts w:ascii="Arial" w:hAnsi="Arial" w:cs="Arial"/>
                <w:b/>
                <w:bCs/>
                <w:sz w:val="20"/>
                <w:szCs w:val="20"/>
              </w:rPr>
            </w:pPr>
          </w:p>
        </w:tc>
        <w:tc>
          <w:tcPr>
            <w:tcW w:w="2303" w:type="dxa"/>
            <w:tcBorders>
              <w:top w:val="single" w:sz="2" w:space="0" w:color="auto"/>
              <w:left w:val="single" w:sz="2" w:space="0" w:color="auto"/>
              <w:bottom w:val="single" w:sz="18" w:space="0" w:color="auto"/>
              <w:right w:val="single" w:sz="2" w:space="0" w:color="auto"/>
            </w:tcBorders>
          </w:tcPr>
          <w:p w:rsidR="006147B3" w:rsidRPr="006147B3" w:rsidRDefault="006147B3" w:rsidP="006147B3">
            <w:pPr>
              <w:keepNext/>
              <w:widowControl w:val="0"/>
              <w:autoSpaceDE w:val="0"/>
              <w:autoSpaceDN w:val="0"/>
              <w:spacing w:before="216"/>
              <w:jc w:val="center"/>
              <w:outlineLvl w:val="3"/>
              <w:rPr>
                <w:rFonts w:ascii="Arial" w:hAnsi="Arial" w:cs="Arial"/>
                <w:b/>
                <w:bCs/>
                <w:sz w:val="20"/>
                <w:szCs w:val="20"/>
              </w:rPr>
            </w:pPr>
            <w:r w:rsidRPr="006147B3">
              <w:rPr>
                <w:rFonts w:ascii="Arial" w:hAnsi="Arial" w:cs="Arial"/>
                <w:b/>
                <w:bCs/>
                <w:sz w:val="20"/>
                <w:szCs w:val="20"/>
              </w:rPr>
              <w:t>Fabien MESSAGER</w:t>
            </w:r>
          </w:p>
        </w:tc>
        <w:tc>
          <w:tcPr>
            <w:tcW w:w="2303" w:type="dxa"/>
            <w:tcBorders>
              <w:top w:val="single" w:sz="2" w:space="0" w:color="auto"/>
              <w:left w:val="single" w:sz="2" w:space="0" w:color="auto"/>
              <w:bottom w:val="single" w:sz="18" w:space="0" w:color="auto"/>
              <w:right w:val="single" w:sz="18" w:space="0" w:color="auto"/>
            </w:tcBorders>
          </w:tcPr>
          <w:p w:rsidR="006147B3" w:rsidRPr="006147B3" w:rsidRDefault="006147B3" w:rsidP="006147B3">
            <w:pPr>
              <w:keepNext/>
              <w:widowControl w:val="0"/>
              <w:autoSpaceDE w:val="0"/>
              <w:autoSpaceDN w:val="0"/>
              <w:spacing w:before="216"/>
              <w:jc w:val="center"/>
              <w:outlineLvl w:val="3"/>
              <w:rPr>
                <w:rFonts w:ascii="Arial" w:hAnsi="Arial" w:cs="Arial"/>
                <w:b/>
                <w:bCs/>
                <w:sz w:val="20"/>
                <w:szCs w:val="20"/>
              </w:rPr>
            </w:pPr>
            <w:r w:rsidRPr="006147B3">
              <w:rPr>
                <w:rFonts w:ascii="Arial" w:hAnsi="Arial" w:cs="Arial"/>
                <w:b/>
                <w:bCs/>
                <w:sz w:val="20"/>
                <w:szCs w:val="20"/>
              </w:rPr>
              <w:t>X</w:t>
            </w:r>
          </w:p>
        </w:tc>
      </w:tr>
    </w:tbl>
    <w:p w:rsidR="006147B3" w:rsidRDefault="006147B3" w:rsidP="008D698E">
      <w:pPr>
        <w:keepNext/>
        <w:widowControl w:val="0"/>
        <w:autoSpaceDE w:val="0"/>
        <w:autoSpaceDN w:val="0"/>
        <w:spacing w:before="216"/>
        <w:outlineLvl w:val="3"/>
        <w:rPr>
          <w:rFonts w:ascii="Arial" w:hAnsi="Arial" w:cs="Arial"/>
          <w:b/>
          <w:bCs/>
          <w:sz w:val="22"/>
          <w:szCs w:val="22"/>
        </w:rPr>
      </w:pPr>
    </w:p>
    <w:p w:rsidR="008D698E" w:rsidRPr="004D5B7F" w:rsidRDefault="008D698E" w:rsidP="008D698E">
      <w:pPr>
        <w:keepNext/>
        <w:widowControl w:val="0"/>
        <w:autoSpaceDE w:val="0"/>
        <w:autoSpaceDN w:val="0"/>
        <w:spacing w:before="216"/>
        <w:outlineLvl w:val="3"/>
        <w:rPr>
          <w:rFonts w:ascii="Arial" w:hAnsi="Arial" w:cs="Arial"/>
          <w:b/>
          <w:bCs/>
          <w:sz w:val="22"/>
          <w:szCs w:val="22"/>
        </w:rPr>
      </w:pPr>
      <w:r w:rsidRPr="004D5B7F">
        <w:rPr>
          <w:rFonts w:ascii="Arial" w:hAnsi="Arial" w:cs="Arial"/>
          <w:b/>
          <w:bCs/>
          <w:sz w:val="22"/>
          <w:szCs w:val="22"/>
        </w:rPr>
        <w:t>Présents direction :</w:t>
      </w:r>
    </w:p>
    <w:p w:rsidR="008D698E" w:rsidRPr="004D5B7F" w:rsidRDefault="008D698E" w:rsidP="008D698E">
      <w:pPr>
        <w:widowControl w:val="0"/>
        <w:autoSpaceDE w:val="0"/>
        <w:autoSpaceDN w:val="0"/>
        <w:adjustRightInd w:val="0"/>
        <w:rPr>
          <w:rFonts w:ascii="Arial" w:hAnsi="Arial" w:cs="Arial"/>
          <w:sz w:val="22"/>
          <w:szCs w:val="22"/>
        </w:rPr>
      </w:pPr>
      <w:r w:rsidRPr="004D5B7F">
        <w:rPr>
          <w:rFonts w:ascii="Arial" w:hAnsi="Arial" w:cs="Arial"/>
          <w:sz w:val="22"/>
          <w:szCs w:val="22"/>
        </w:rPr>
        <w:tab/>
      </w:r>
    </w:p>
    <w:p w:rsidR="008D698E" w:rsidRPr="004D5B7F" w:rsidRDefault="008D698E" w:rsidP="008D698E">
      <w:pPr>
        <w:widowControl w:val="0"/>
        <w:autoSpaceDE w:val="0"/>
        <w:autoSpaceDN w:val="0"/>
        <w:adjustRightInd w:val="0"/>
        <w:rPr>
          <w:rFonts w:ascii="Arial" w:hAnsi="Arial" w:cs="Arial"/>
          <w:sz w:val="22"/>
          <w:szCs w:val="22"/>
        </w:rPr>
      </w:pPr>
      <w:r w:rsidRPr="004D5B7F">
        <w:rPr>
          <w:rFonts w:ascii="Arial" w:hAnsi="Arial" w:cs="Arial"/>
          <w:sz w:val="22"/>
          <w:szCs w:val="22"/>
        </w:rPr>
        <w:t xml:space="preserve">Alain WISLEZ </w:t>
      </w:r>
    </w:p>
    <w:p w:rsidR="008D698E" w:rsidRPr="004D5B7F" w:rsidRDefault="008D698E" w:rsidP="008D698E">
      <w:pPr>
        <w:widowControl w:val="0"/>
        <w:autoSpaceDE w:val="0"/>
        <w:autoSpaceDN w:val="0"/>
        <w:adjustRightInd w:val="0"/>
        <w:rPr>
          <w:rFonts w:ascii="Arial" w:hAnsi="Arial" w:cs="Arial"/>
          <w:sz w:val="22"/>
          <w:szCs w:val="22"/>
        </w:rPr>
      </w:pPr>
      <w:r w:rsidRPr="004D5B7F">
        <w:rPr>
          <w:rFonts w:ascii="Arial" w:hAnsi="Arial" w:cs="Arial"/>
          <w:sz w:val="22"/>
          <w:szCs w:val="22"/>
        </w:rPr>
        <w:t>Stéphanie GIRAUD</w:t>
      </w:r>
    </w:p>
    <w:p w:rsidR="008D698E" w:rsidRPr="004D5B7F" w:rsidRDefault="008D698E" w:rsidP="008D698E">
      <w:pPr>
        <w:widowControl w:val="0"/>
        <w:autoSpaceDE w:val="0"/>
        <w:autoSpaceDN w:val="0"/>
        <w:adjustRightInd w:val="0"/>
        <w:rPr>
          <w:rFonts w:ascii="Arial" w:hAnsi="Arial" w:cs="Arial"/>
          <w:sz w:val="22"/>
          <w:szCs w:val="22"/>
        </w:rPr>
      </w:pPr>
      <w:r w:rsidRPr="004D5B7F">
        <w:rPr>
          <w:rFonts w:ascii="Arial" w:hAnsi="Arial" w:cs="Arial"/>
          <w:sz w:val="22"/>
          <w:szCs w:val="22"/>
        </w:rPr>
        <w:t>Martine TERTULLIANI</w:t>
      </w:r>
    </w:p>
    <w:p w:rsidR="00094C2A" w:rsidRDefault="00094C2A" w:rsidP="00094C2A">
      <w:pPr>
        <w:rPr>
          <w:rFonts w:ascii="Arial" w:hAnsi="Arial" w:cs="Arial"/>
          <w:sz w:val="22"/>
          <w:szCs w:val="22"/>
        </w:rPr>
      </w:pPr>
    </w:p>
    <w:p w:rsidR="004D5B7F" w:rsidRPr="004D5B7F" w:rsidRDefault="004D5B7F" w:rsidP="00094C2A">
      <w:pPr>
        <w:rPr>
          <w:rFonts w:ascii="Arial" w:hAnsi="Arial" w:cs="Arial"/>
          <w:sz w:val="22"/>
          <w:szCs w:val="22"/>
        </w:rPr>
      </w:pPr>
    </w:p>
    <w:p w:rsidR="00094C2A" w:rsidRPr="004D5B7F" w:rsidRDefault="00094C2A" w:rsidP="00094C2A">
      <w:pPr>
        <w:rPr>
          <w:rFonts w:ascii="Arial" w:hAnsi="Arial" w:cs="Arial"/>
          <w:b/>
          <w:bCs/>
          <w:i/>
          <w:iCs/>
          <w:sz w:val="22"/>
          <w:szCs w:val="22"/>
        </w:rPr>
      </w:pPr>
      <w:r w:rsidRPr="004D5B7F">
        <w:rPr>
          <w:rFonts w:ascii="Arial" w:hAnsi="Arial" w:cs="Arial"/>
          <w:b/>
          <w:bCs/>
          <w:i/>
          <w:iCs/>
          <w:sz w:val="22"/>
          <w:szCs w:val="22"/>
        </w:rPr>
        <w:t>Suivi des questions précédentes :</w:t>
      </w:r>
    </w:p>
    <w:p w:rsidR="00094C2A" w:rsidRPr="004D5B7F" w:rsidRDefault="00094C2A" w:rsidP="00094C2A">
      <w:pPr>
        <w:ind w:left="720"/>
        <w:jc w:val="both"/>
        <w:rPr>
          <w:rFonts w:ascii="Arial" w:hAnsi="Arial" w:cs="Arial"/>
          <w:sz w:val="22"/>
          <w:szCs w:val="22"/>
        </w:rPr>
      </w:pPr>
    </w:p>
    <w:p w:rsidR="00094C2A" w:rsidRPr="004D5B7F" w:rsidRDefault="00094C2A" w:rsidP="00094C2A">
      <w:pPr>
        <w:pStyle w:val="Paragraphedeliste"/>
        <w:numPr>
          <w:ilvl w:val="0"/>
          <w:numId w:val="1"/>
        </w:numPr>
        <w:tabs>
          <w:tab w:val="clear" w:pos="720"/>
          <w:tab w:val="num" w:pos="360"/>
        </w:tabs>
        <w:ind w:left="360"/>
        <w:jc w:val="both"/>
        <w:rPr>
          <w:rFonts w:ascii="Arial" w:hAnsi="Arial" w:cs="Arial"/>
          <w:sz w:val="22"/>
          <w:szCs w:val="22"/>
        </w:rPr>
      </w:pPr>
      <w:r w:rsidRPr="004D5B7F">
        <w:rPr>
          <w:rFonts w:ascii="Arial" w:hAnsi="Arial" w:cs="Arial"/>
          <w:sz w:val="22"/>
          <w:szCs w:val="22"/>
        </w:rPr>
        <w:t>Possibilité d’effectuer une étape hôtel lors de missions nécessitant un lever avant 5h et un retour après 21h.</w:t>
      </w:r>
    </w:p>
    <w:p w:rsidR="00094C2A" w:rsidRPr="004D5B7F" w:rsidRDefault="00094C2A" w:rsidP="00094C2A">
      <w:pPr>
        <w:tabs>
          <w:tab w:val="num" w:pos="360"/>
        </w:tabs>
        <w:ind w:left="360"/>
        <w:jc w:val="both"/>
        <w:rPr>
          <w:rFonts w:ascii="Arial" w:hAnsi="Arial" w:cs="Arial"/>
          <w:sz w:val="22"/>
          <w:szCs w:val="22"/>
        </w:rPr>
      </w:pPr>
      <w:r w:rsidRPr="004D5B7F">
        <w:rPr>
          <w:rFonts w:ascii="Arial" w:hAnsi="Arial" w:cs="Arial"/>
          <w:sz w:val="22"/>
          <w:szCs w:val="22"/>
        </w:rPr>
        <w:t>La Direction répond que « dans le cas d’un déplacement nécessitant d’être présent en début de journée sur le lieu de la mission, les collaborateurs ont la possibilité de choisir, et donc de prévoir un départ la veille. Dans ce cas, les collaborateurs informent les managers. »</w:t>
      </w:r>
    </w:p>
    <w:p w:rsidR="00094C2A" w:rsidRPr="004D5B7F" w:rsidRDefault="00094C2A" w:rsidP="00094C2A">
      <w:pPr>
        <w:tabs>
          <w:tab w:val="num" w:pos="360"/>
        </w:tabs>
        <w:ind w:left="360"/>
        <w:jc w:val="both"/>
        <w:rPr>
          <w:rFonts w:ascii="Arial" w:hAnsi="Arial" w:cs="Arial"/>
          <w:sz w:val="22"/>
          <w:szCs w:val="22"/>
        </w:rPr>
      </w:pPr>
      <w:r w:rsidRPr="004D5B7F">
        <w:rPr>
          <w:rFonts w:ascii="Arial" w:hAnsi="Arial" w:cs="Arial"/>
          <w:sz w:val="22"/>
          <w:szCs w:val="22"/>
        </w:rPr>
        <w:t>La direction, peut-elle préciser comment les personnes en charge des offres doivent prendre en compte ce déplacement qui sera fait en fonction de la personne intervenant? Doit-on systématiquement le prévoir ?</w:t>
      </w:r>
    </w:p>
    <w:p w:rsidR="008D698E" w:rsidRPr="004D5B7F" w:rsidRDefault="008D698E" w:rsidP="008D698E">
      <w:pPr>
        <w:tabs>
          <w:tab w:val="num" w:pos="360"/>
        </w:tabs>
        <w:jc w:val="both"/>
        <w:rPr>
          <w:rFonts w:ascii="Arial" w:hAnsi="Arial" w:cs="Arial"/>
          <w:sz w:val="22"/>
          <w:szCs w:val="22"/>
        </w:rPr>
      </w:pPr>
    </w:p>
    <w:p w:rsidR="008D698E" w:rsidRPr="004D5B7F" w:rsidRDefault="008D698E" w:rsidP="008D698E">
      <w:pPr>
        <w:tabs>
          <w:tab w:val="num" w:pos="360"/>
        </w:tabs>
        <w:jc w:val="both"/>
        <w:rPr>
          <w:rFonts w:ascii="Arial" w:hAnsi="Arial" w:cs="Arial"/>
          <w:b/>
          <w:bCs/>
          <w:i/>
          <w:iCs/>
          <w:sz w:val="22"/>
          <w:szCs w:val="22"/>
        </w:rPr>
      </w:pPr>
      <w:r w:rsidRPr="004D5B7F">
        <w:rPr>
          <w:rFonts w:ascii="Arial" w:hAnsi="Arial" w:cs="Arial"/>
          <w:b/>
          <w:bCs/>
          <w:i/>
          <w:iCs/>
          <w:sz w:val="22"/>
          <w:szCs w:val="22"/>
        </w:rPr>
        <w:t xml:space="preserve">Réponse : </w:t>
      </w:r>
      <w:r w:rsidRPr="004D5B7F">
        <w:rPr>
          <w:rFonts w:ascii="Arial" w:hAnsi="Arial"/>
          <w:b/>
          <w:bCs/>
          <w:i/>
          <w:iCs/>
          <w:sz w:val="22"/>
          <w:szCs w:val="22"/>
        </w:rPr>
        <w:t>Pour chaque projet, une enveloppe budgétaire est estimée pour le volet déplacement. Cette enveloppe est définie sur la base des tarifs habituels connus, elle n’est pas définie à 150 € près.</w:t>
      </w:r>
    </w:p>
    <w:p w:rsidR="008D698E" w:rsidRPr="004D5B7F" w:rsidRDefault="008D698E" w:rsidP="008D698E">
      <w:pPr>
        <w:tabs>
          <w:tab w:val="num" w:pos="360"/>
        </w:tabs>
        <w:jc w:val="both"/>
        <w:rPr>
          <w:rFonts w:ascii="Arial" w:hAnsi="Arial" w:cs="Arial"/>
          <w:sz w:val="22"/>
          <w:szCs w:val="22"/>
        </w:rPr>
      </w:pPr>
    </w:p>
    <w:p w:rsidR="00094C2A" w:rsidRPr="004D5B7F" w:rsidRDefault="00094C2A" w:rsidP="00094C2A">
      <w:pPr>
        <w:pStyle w:val="Paragraphedeliste"/>
        <w:ind w:left="360"/>
        <w:jc w:val="both"/>
        <w:rPr>
          <w:rFonts w:ascii="Arial" w:hAnsi="Arial" w:cs="Arial"/>
          <w:sz w:val="22"/>
          <w:szCs w:val="22"/>
        </w:rPr>
      </w:pPr>
    </w:p>
    <w:p w:rsidR="00094C2A" w:rsidRPr="004D5B7F" w:rsidRDefault="00094C2A" w:rsidP="00094C2A">
      <w:pPr>
        <w:pStyle w:val="Paragraphedeliste"/>
        <w:numPr>
          <w:ilvl w:val="0"/>
          <w:numId w:val="1"/>
        </w:numPr>
        <w:tabs>
          <w:tab w:val="clear" w:pos="720"/>
          <w:tab w:val="num" w:pos="360"/>
        </w:tabs>
        <w:ind w:left="360"/>
        <w:jc w:val="both"/>
        <w:rPr>
          <w:rFonts w:ascii="Arial" w:hAnsi="Arial" w:cs="Arial"/>
          <w:sz w:val="22"/>
          <w:szCs w:val="22"/>
        </w:rPr>
      </w:pPr>
      <w:r w:rsidRPr="004D5B7F">
        <w:rPr>
          <w:rFonts w:ascii="Arial" w:hAnsi="Arial" w:cs="Arial"/>
          <w:sz w:val="22"/>
          <w:szCs w:val="22"/>
        </w:rPr>
        <w:t>Communication des résultats d’audits clients.</w:t>
      </w:r>
    </w:p>
    <w:p w:rsidR="00094C2A" w:rsidRPr="004D5B7F" w:rsidRDefault="00094C2A" w:rsidP="00094C2A">
      <w:pPr>
        <w:tabs>
          <w:tab w:val="num" w:pos="360"/>
        </w:tabs>
        <w:ind w:left="360"/>
        <w:jc w:val="both"/>
        <w:rPr>
          <w:rFonts w:ascii="Arial" w:hAnsi="Arial" w:cs="Arial"/>
          <w:sz w:val="22"/>
          <w:szCs w:val="22"/>
        </w:rPr>
      </w:pPr>
      <w:r w:rsidRPr="004D5B7F">
        <w:rPr>
          <w:rFonts w:ascii="Arial" w:hAnsi="Arial" w:cs="Arial"/>
          <w:sz w:val="22"/>
          <w:szCs w:val="22"/>
        </w:rPr>
        <w:t>La Direction répond que « En plénière, la Direction présente le bilan des audits qualité, et le bilan de l’enquête de satisfaction clients. L’intranet du site de Toulouse, lorsqu’il sera déployé, permettra de faire un retour d’information aux collaborateurs sur les différents audits réalisés. »</w:t>
      </w:r>
    </w:p>
    <w:p w:rsidR="00094C2A" w:rsidRPr="004D5B7F" w:rsidRDefault="00094C2A" w:rsidP="00094C2A">
      <w:pPr>
        <w:tabs>
          <w:tab w:val="num" w:pos="360"/>
        </w:tabs>
        <w:ind w:left="360"/>
        <w:jc w:val="both"/>
        <w:rPr>
          <w:rFonts w:ascii="Arial" w:hAnsi="Arial" w:cs="Arial"/>
          <w:sz w:val="22"/>
          <w:szCs w:val="22"/>
        </w:rPr>
      </w:pPr>
      <w:r w:rsidRPr="004D5B7F">
        <w:rPr>
          <w:rFonts w:ascii="Arial" w:hAnsi="Arial" w:cs="Arial"/>
          <w:sz w:val="22"/>
          <w:szCs w:val="22"/>
        </w:rPr>
        <w:t>La Direction ne répond pas à la question, on parle des retours des audits clients et la Direction répond sur l’enquête de satisfaction clients, la direction peut-elle s’engager à un retour sur les audits réalisés par les clients ?</w:t>
      </w:r>
    </w:p>
    <w:p w:rsidR="008D698E" w:rsidRPr="004D5B7F" w:rsidRDefault="008D698E" w:rsidP="008D698E">
      <w:pPr>
        <w:tabs>
          <w:tab w:val="num" w:pos="360"/>
        </w:tabs>
        <w:jc w:val="both"/>
        <w:rPr>
          <w:rFonts w:ascii="Arial" w:hAnsi="Arial" w:cs="Arial"/>
          <w:b/>
          <w:bCs/>
          <w:i/>
          <w:iCs/>
          <w:sz w:val="22"/>
          <w:szCs w:val="22"/>
        </w:rPr>
      </w:pPr>
    </w:p>
    <w:p w:rsidR="008D698E" w:rsidRPr="004D5B7F" w:rsidRDefault="008D698E" w:rsidP="008D698E">
      <w:pPr>
        <w:tabs>
          <w:tab w:val="num" w:pos="360"/>
        </w:tabs>
        <w:jc w:val="both"/>
        <w:rPr>
          <w:rFonts w:ascii="Arial" w:hAnsi="Arial" w:cs="Arial"/>
          <w:b/>
          <w:bCs/>
          <w:i/>
          <w:iCs/>
          <w:sz w:val="22"/>
          <w:szCs w:val="22"/>
        </w:rPr>
      </w:pPr>
      <w:r w:rsidRPr="004D5B7F">
        <w:rPr>
          <w:rFonts w:ascii="Arial" w:hAnsi="Arial" w:cs="Arial"/>
          <w:b/>
          <w:bCs/>
          <w:i/>
          <w:iCs/>
          <w:sz w:val="22"/>
          <w:szCs w:val="22"/>
        </w:rPr>
        <w:t xml:space="preserve">Réponse : </w:t>
      </w:r>
      <w:r w:rsidRPr="004D5B7F">
        <w:rPr>
          <w:rFonts w:ascii="Arial" w:hAnsi="Arial"/>
          <w:b/>
          <w:bCs/>
          <w:i/>
          <w:iCs/>
          <w:sz w:val="22"/>
          <w:szCs w:val="22"/>
        </w:rPr>
        <w:t>Le site intranet est en cours de construction, il comprendra un volet dédié aux audits clients et enquête de satisfaction client.</w:t>
      </w:r>
    </w:p>
    <w:p w:rsidR="00094C2A" w:rsidRDefault="00094C2A" w:rsidP="00094C2A">
      <w:pPr>
        <w:pStyle w:val="Paragraphedeliste"/>
        <w:ind w:left="360"/>
        <w:jc w:val="both"/>
        <w:rPr>
          <w:rFonts w:ascii="Arial" w:hAnsi="Arial" w:cs="Arial"/>
          <w:sz w:val="22"/>
          <w:szCs w:val="22"/>
        </w:rPr>
      </w:pPr>
    </w:p>
    <w:p w:rsidR="00D87EBA" w:rsidRPr="004D5B7F" w:rsidRDefault="00D87EBA" w:rsidP="00094C2A">
      <w:pPr>
        <w:pStyle w:val="Paragraphedeliste"/>
        <w:ind w:left="360"/>
        <w:jc w:val="both"/>
        <w:rPr>
          <w:rFonts w:ascii="Arial" w:hAnsi="Arial" w:cs="Arial"/>
          <w:sz w:val="22"/>
          <w:szCs w:val="22"/>
        </w:rPr>
      </w:pPr>
    </w:p>
    <w:p w:rsidR="00094C2A" w:rsidRPr="004D5B7F" w:rsidRDefault="00094C2A" w:rsidP="00094C2A">
      <w:pPr>
        <w:rPr>
          <w:rFonts w:ascii="Arial" w:hAnsi="Arial" w:cs="Arial"/>
          <w:b/>
          <w:bCs/>
          <w:i/>
          <w:iCs/>
          <w:sz w:val="22"/>
          <w:szCs w:val="22"/>
        </w:rPr>
      </w:pPr>
      <w:r w:rsidRPr="004D5B7F">
        <w:rPr>
          <w:rFonts w:ascii="Arial" w:hAnsi="Arial" w:cs="Arial"/>
          <w:b/>
          <w:bCs/>
          <w:i/>
          <w:iCs/>
          <w:sz w:val="22"/>
          <w:szCs w:val="22"/>
        </w:rPr>
        <w:lastRenderedPageBreak/>
        <w:t>Questions nouvelles :</w:t>
      </w:r>
    </w:p>
    <w:p w:rsidR="00094C2A" w:rsidRPr="004D5B7F" w:rsidRDefault="00094C2A" w:rsidP="00094C2A">
      <w:pPr>
        <w:ind w:left="720"/>
        <w:jc w:val="both"/>
        <w:rPr>
          <w:rFonts w:ascii="Arial" w:hAnsi="Arial" w:cs="Arial"/>
          <w:sz w:val="22"/>
          <w:szCs w:val="22"/>
        </w:rPr>
      </w:pPr>
    </w:p>
    <w:p w:rsidR="00094C2A" w:rsidRPr="004D5B7F" w:rsidRDefault="00094C2A" w:rsidP="00094C2A">
      <w:pPr>
        <w:pStyle w:val="Paragraphedeliste"/>
        <w:numPr>
          <w:ilvl w:val="0"/>
          <w:numId w:val="1"/>
        </w:numPr>
        <w:tabs>
          <w:tab w:val="clear" w:pos="720"/>
          <w:tab w:val="num" w:pos="360"/>
        </w:tabs>
        <w:ind w:left="360"/>
        <w:jc w:val="both"/>
        <w:rPr>
          <w:rFonts w:ascii="Arial" w:hAnsi="Arial" w:cs="Arial"/>
          <w:sz w:val="22"/>
          <w:szCs w:val="22"/>
        </w:rPr>
      </w:pPr>
      <w:r w:rsidRPr="004D5B7F">
        <w:rPr>
          <w:rFonts w:ascii="Arial" w:hAnsi="Arial" w:cs="Arial"/>
          <w:sz w:val="22"/>
          <w:szCs w:val="22"/>
        </w:rPr>
        <w:t>Plan d’actions suite à l’enquête politique salariale 2012 : quelles sont les avancées, action par action ?</w:t>
      </w:r>
    </w:p>
    <w:p w:rsidR="00094C2A" w:rsidRPr="004D5B7F" w:rsidRDefault="00094C2A" w:rsidP="008D698E">
      <w:pPr>
        <w:jc w:val="both"/>
        <w:rPr>
          <w:rFonts w:ascii="Arial" w:hAnsi="Arial" w:cs="Arial"/>
          <w:sz w:val="22"/>
          <w:szCs w:val="22"/>
        </w:rPr>
      </w:pPr>
    </w:p>
    <w:p w:rsidR="008D698E" w:rsidRPr="004D5B7F" w:rsidRDefault="008D698E" w:rsidP="001F4CA4">
      <w:pPr>
        <w:jc w:val="both"/>
        <w:rPr>
          <w:rFonts w:ascii="Arial" w:eastAsia="Calibri" w:hAnsi="Arial" w:cs="Arial"/>
          <w:b/>
          <w:bCs/>
          <w:i/>
          <w:iCs/>
          <w:sz w:val="22"/>
          <w:szCs w:val="22"/>
          <w:lang w:eastAsia="en-US"/>
        </w:rPr>
      </w:pPr>
      <w:r w:rsidRPr="004D5B7F">
        <w:rPr>
          <w:rFonts w:ascii="Arial" w:hAnsi="Arial" w:cs="Arial"/>
          <w:b/>
          <w:bCs/>
          <w:i/>
          <w:iCs/>
          <w:sz w:val="22"/>
          <w:szCs w:val="22"/>
        </w:rPr>
        <w:t>Réponse :</w:t>
      </w:r>
      <w:r w:rsidRPr="004D5B7F">
        <w:rPr>
          <w:rFonts w:ascii="Arial" w:eastAsia="Calibri" w:hAnsi="Arial" w:cs="Arial"/>
          <w:b/>
          <w:bCs/>
          <w:i/>
          <w:iCs/>
          <w:sz w:val="22"/>
          <w:szCs w:val="22"/>
          <w:lang w:eastAsia="en-US"/>
        </w:rPr>
        <w:t xml:space="preserve"> L’atelier rémunération est prévu le 9 janvier prochain (action 1)</w:t>
      </w:r>
    </w:p>
    <w:p w:rsidR="008D698E" w:rsidRPr="008D698E" w:rsidRDefault="008D698E" w:rsidP="001F4CA4">
      <w:pPr>
        <w:spacing w:after="200" w:line="276" w:lineRule="auto"/>
        <w:jc w:val="both"/>
        <w:rPr>
          <w:rFonts w:ascii="Arial" w:eastAsia="Calibri" w:hAnsi="Arial" w:cs="Arial"/>
          <w:b/>
          <w:bCs/>
          <w:i/>
          <w:iCs/>
          <w:sz w:val="22"/>
          <w:szCs w:val="22"/>
          <w:lang w:eastAsia="en-US"/>
        </w:rPr>
      </w:pPr>
      <w:r w:rsidRPr="008D698E">
        <w:rPr>
          <w:rFonts w:ascii="Arial" w:eastAsia="Calibri" w:hAnsi="Arial" w:cs="Arial"/>
          <w:b/>
          <w:bCs/>
          <w:i/>
          <w:iCs/>
          <w:sz w:val="22"/>
          <w:szCs w:val="22"/>
          <w:lang w:eastAsia="en-US"/>
        </w:rPr>
        <w:t>Tous les mois, les écarts éventuels entre minima + 5% et salaire de base sont identifiés, avec action correctrice lorsque c’est nécessaire. (</w:t>
      </w:r>
      <w:proofErr w:type="gramStart"/>
      <w:r w:rsidRPr="008D698E">
        <w:rPr>
          <w:rFonts w:ascii="Arial" w:eastAsia="Calibri" w:hAnsi="Arial" w:cs="Arial"/>
          <w:b/>
          <w:bCs/>
          <w:i/>
          <w:iCs/>
          <w:sz w:val="22"/>
          <w:szCs w:val="22"/>
          <w:lang w:eastAsia="en-US"/>
        </w:rPr>
        <w:t>en</w:t>
      </w:r>
      <w:proofErr w:type="gramEnd"/>
      <w:r w:rsidRPr="008D698E">
        <w:rPr>
          <w:rFonts w:ascii="Arial" w:eastAsia="Calibri" w:hAnsi="Arial" w:cs="Arial"/>
          <w:b/>
          <w:bCs/>
          <w:i/>
          <w:iCs/>
          <w:sz w:val="22"/>
          <w:szCs w:val="22"/>
          <w:lang w:eastAsia="en-US"/>
        </w:rPr>
        <w:t xml:space="preserve"> cas de changement de coefficient le mois précédent – action 5). </w:t>
      </w:r>
    </w:p>
    <w:p w:rsidR="008D698E" w:rsidRPr="008D698E" w:rsidRDefault="008D698E" w:rsidP="001F4CA4">
      <w:pPr>
        <w:spacing w:after="200" w:line="276" w:lineRule="auto"/>
        <w:jc w:val="both"/>
        <w:rPr>
          <w:rFonts w:ascii="Arial" w:eastAsia="Calibri" w:hAnsi="Arial" w:cs="Arial"/>
          <w:b/>
          <w:bCs/>
          <w:i/>
          <w:iCs/>
          <w:sz w:val="22"/>
          <w:szCs w:val="22"/>
          <w:lang w:eastAsia="en-US"/>
        </w:rPr>
      </w:pPr>
      <w:r w:rsidRPr="008D698E">
        <w:rPr>
          <w:rFonts w:ascii="Arial" w:eastAsia="Calibri" w:hAnsi="Arial" w:cs="Arial"/>
          <w:b/>
          <w:bCs/>
          <w:i/>
          <w:iCs/>
          <w:sz w:val="22"/>
          <w:szCs w:val="22"/>
          <w:lang w:eastAsia="en-US"/>
        </w:rPr>
        <w:t>Les salaires d’embauches des nouveaux entrants jeunes diplômés ont été revus pour tenir compte de la promotion en position 2 LR 8, à partir de 12 mois dans le poste.</w:t>
      </w:r>
    </w:p>
    <w:p w:rsidR="008D698E" w:rsidRPr="004D5B7F" w:rsidRDefault="008D698E" w:rsidP="008D698E">
      <w:pPr>
        <w:jc w:val="both"/>
        <w:rPr>
          <w:rFonts w:ascii="Arial" w:hAnsi="Arial" w:cs="Arial"/>
          <w:sz w:val="22"/>
          <w:szCs w:val="22"/>
        </w:rPr>
      </w:pPr>
    </w:p>
    <w:p w:rsidR="00094C2A" w:rsidRPr="004D5B7F" w:rsidRDefault="00094C2A" w:rsidP="00094C2A">
      <w:pPr>
        <w:pStyle w:val="Paragraphedeliste"/>
        <w:numPr>
          <w:ilvl w:val="0"/>
          <w:numId w:val="1"/>
        </w:numPr>
        <w:tabs>
          <w:tab w:val="clear" w:pos="720"/>
          <w:tab w:val="num" w:pos="360"/>
        </w:tabs>
        <w:ind w:left="360"/>
        <w:jc w:val="both"/>
        <w:rPr>
          <w:rFonts w:ascii="Arial" w:hAnsi="Arial" w:cs="Arial"/>
          <w:b/>
          <w:bCs/>
          <w:sz w:val="22"/>
          <w:szCs w:val="22"/>
        </w:rPr>
      </w:pPr>
      <w:r w:rsidRPr="004D5B7F">
        <w:rPr>
          <w:rFonts w:ascii="Arial" w:hAnsi="Arial" w:cs="Arial"/>
          <w:sz w:val="22"/>
          <w:szCs w:val="22"/>
        </w:rPr>
        <w:t>Une réunion d’information est prévue à Toulouse le 7 février, d’après le kit de communication mensuel de décembre 2013. En quoi consiste cette réunion d’information ?</w:t>
      </w:r>
    </w:p>
    <w:p w:rsidR="00D32340" w:rsidRPr="004D5B7F" w:rsidRDefault="00D32340" w:rsidP="00DE243D">
      <w:pPr>
        <w:jc w:val="both"/>
        <w:rPr>
          <w:rFonts w:ascii="Arial" w:hAnsi="Arial" w:cs="Arial"/>
          <w:b/>
          <w:bCs/>
          <w:sz w:val="22"/>
          <w:szCs w:val="22"/>
        </w:rPr>
      </w:pPr>
    </w:p>
    <w:p w:rsidR="00DE243D" w:rsidRPr="004D5B7F" w:rsidRDefault="00DE243D" w:rsidP="00DE243D">
      <w:pPr>
        <w:jc w:val="both"/>
        <w:rPr>
          <w:rFonts w:ascii="Arial" w:hAnsi="Arial" w:cs="Arial"/>
          <w:b/>
          <w:bCs/>
          <w:i/>
          <w:iCs/>
          <w:sz w:val="22"/>
          <w:szCs w:val="22"/>
        </w:rPr>
      </w:pPr>
      <w:r w:rsidRPr="004D5B7F">
        <w:rPr>
          <w:rFonts w:ascii="Arial" w:hAnsi="Arial"/>
          <w:b/>
          <w:bCs/>
          <w:i/>
          <w:iCs/>
          <w:sz w:val="22"/>
          <w:szCs w:val="22"/>
        </w:rPr>
        <w:t xml:space="preserve">Réponse : Il s’agit du </w:t>
      </w:r>
      <w:proofErr w:type="spellStart"/>
      <w:r w:rsidRPr="004D5B7F">
        <w:rPr>
          <w:rFonts w:ascii="Arial" w:hAnsi="Arial"/>
          <w:b/>
          <w:bCs/>
          <w:i/>
          <w:iCs/>
          <w:sz w:val="22"/>
          <w:szCs w:val="22"/>
        </w:rPr>
        <w:t>roadshow</w:t>
      </w:r>
      <w:proofErr w:type="spellEnd"/>
      <w:r w:rsidRPr="004D5B7F">
        <w:rPr>
          <w:rFonts w:ascii="Arial" w:hAnsi="Arial"/>
          <w:b/>
          <w:bCs/>
          <w:i/>
          <w:iCs/>
          <w:sz w:val="22"/>
          <w:szCs w:val="22"/>
        </w:rPr>
        <w:t xml:space="preserve"> annuel effectué par J Michel Lagarde, qui se déplace sur l’ensemble des sites de TCS au début de chaque année.</w:t>
      </w:r>
    </w:p>
    <w:p w:rsidR="00094C2A" w:rsidRPr="004D5B7F" w:rsidRDefault="00094C2A" w:rsidP="00094C2A">
      <w:pPr>
        <w:pStyle w:val="Paragraphedeliste"/>
        <w:rPr>
          <w:rFonts w:ascii="Arial" w:hAnsi="Arial" w:cs="Arial"/>
          <w:sz w:val="22"/>
          <w:szCs w:val="22"/>
        </w:rPr>
      </w:pPr>
    </w:p>
    <w:p w:rsidR="00094C2A" w:rsidRPr="004D5B7F" w:rsidRDefault="00094C2A" w:rsidP="00094C2A">
      <w:pPr>
        <w:pStyle w:val="Paragraphedeliste"/>
        <w:numPr>
          <w:ilvl w:val="0"/>
          <w:numId w:val="1"/>
        </w:numPr>
        <w:tabs>
          <w:tab w:val="clear" w:pos="720"/>
          <w:tab w:val="num" w:pos="360"/>
        </w:tabs>
        <w:ind w:left="360"/>
        <w:jc w:val="both"/>
        <w:rPr>
          <w:rFonts w:ascii="Arial" w:hAnsi="Arial" w:cs="Arial"/>
          <w:sz w:val="22"/>
          <w:szCs w:val="22"/>
        </w:rPr>
      </w:pPr>
      <w:r w:rsidRPr="004D5B7F">
        <w:rPr>
          <w:rFonts w:ascii="Arial" w:hAnsi="Arial" w:cs="Arial"/>
          <w:sz w:val="22"/>
          <w:szCs w:val="22"/>
        </w:rPr>
        <w:t>Augmentation de la subvention repas : la Direction confirme-t-elle cette augmentation au 1</w:t>
      </w:r>
      <w:r w:rsidRPr="004D5B7F">
        <w:rPr>
          <w:rFonts w:ascii="Arial" w:hAnsi="Arial" w:cs="Arial"/>
          <w:sz w:val="22"/>
          <w:szCs w:val="22"/>
          <w:vertAlign w:val="superscript"/>
        </w:rPr>
        <w:t>er</w:t>
      </w:r>
      <w:r w:rsidRPr="004D5B7F">
        <w:rPr>
          <w:rFonts w:ascii="Arial" w:hAnsi="Arial" w:cs="Arial"/>
          <w:sz w:val="22"/>
          <w:szCs w:val="22"/>
        </w:rPr>
        <w:t xml:space="preserve"> janvier 2014 ?</w:t>
      </w:r>
    </w:p>
    <w:p w:rsidR="00125109" w:rsidRPr="004D5B7F" w:rsidRDefault="00125109" w:rsidP="00125109">
      <w:pPr>
        <w:rPr>
          <w:rFonts w:ascii="Arial" w:hAnsi="Arial" w:cs="Arial"/>
          <w:sz w:val="22"/>
          <w:szCs w:val="22"/>
        </w:rPr>
      </w:pPr>
    </w:p>
    <w:p w:rsidR="00125109" w:rsidRPr="004D5B7F" w:rsidRDefault="00F75452" w:rsidP="00F75452">
      <w:pPr>
        <w:jc w:val="both"/>
        <w:rPr>
          <w:rFonts w:ascii="Arial" w:hAnsi="Arial" w:cs="Arial"/>
          <w:b/>
          <w:bCs/>
          <w:i/>
          <w:iCs/>
          <w:sz w:val="22"/>
          <w:szCs w:val="22"/>
        </w:rPr>
      </w:pPr>
      <w:r w:rsidRPr="004D5B7F">
        <w:rPr>
          <w:rFonts w:ascii="Arial" w:hAnsi="Arial"/>
          <w:b/>
          <w:bCs/>
          <w:i/>
          <w:iCs/>
          <w:sz w:val="22"/>
          <w:szCs w:val="22"/>
        </w:rPr>
        <w:t>Réponse : La réponse concernant les modalités de prise en charge des repas du midi sera connue au cours de la deuxième quinzaine de janvier 2014.</w:t>
      </w:r>
    </w:p>
    <w:p w:rsidR="00125109" w:rsidRPr="004D5B7F" w:rsidRDefault="00125109" w:rsidP="00125109">
      <w:pPr>
        <w:rPr>
          <w:rFonts w:ascii="Arial" w:hAnsi="Arial" w:cs="Arial"/>
          <w:sz w:val="22"/>
          <w:szCs w:val="22"/>
        </w:rPr>
      </w:pPr>
    </w:p>
    <w:p w:rsidR="00094C2A" w:rsidRPr="004D5B7F" w:rsidRDefault="00094C2A" w:rsidP="00094C2A">
      <w:pPr>
        <w:pStyle w:val="Paragraphedeliste"/>
        <w:numPr>
          <w:ilvl w:val="0"/>
          <w:numId w:val="1"/>
        </w:numPr>
        <w:tabs>
          <w:tab w:val="clear" w:pos="720"/>
          <w:tab w:val="num" w:pos="360"/>
        </w:tabs>
        <w:ind w:left="360"/>
        <w:jc w:val="both"/>
        <w:rPr>
          <w:rFonts w:ascii="Arial" w:hAnsi="Arial" w:cs="Arial"/>
          <w:sz w:val="22"/>
          <w:szCs w:val="22"/>
        </w:rPr>
      </w:pPr>
      <w:r w:rsidRPr="004D5B7F">
        <w:rPr>
          <w:rFonts w:ascii="Arial" w:hAnsi="Arial" w:cs="Arial"/>
          <w:sz w:val="22"/>
          <w:szCs w:val="22"/>
        </w:rPr>
        <w:t>La Direction peut-elle rappeler les modalités d’horaires pour les non-cadres ?</w:t>
      </w:r>
    </w:p>
    <w:p w:rsidR="00F75452" w:rsidRPr="004D5B7F" w:rsidRDefault="00F75452" w:rsidP="00F75452">
      <w:pPr>
        <w:jc w:val="both"/>
        <w:rPr>
          <w:rFonts w:ascii="Arial" w:hAnsi="Arial" w:cs="Arial"/>
          <w:b/>
          <w:bCs/>
          <w:i/>
          <w:iCs/>
          <w:sz w:val="22"/>
          <w:szCs w:val="22"/>
        </w:rPr>
      </w:pPr>
    </w:p>
    <w:p w:rsidR="00F75452" w:rsidRPr="004D5B7F" w:rsidRDefault="00F75452" w:rsidP="00F75452">
      <w:pPr>
        <w:jc w:val="both"/>
        <w:rPr>
          <w:rFonts w:ascii="Arial" w:hAnsi="Arial" w:cs="Arial"/>
          <w:b/>
          <w:bCs/>
          <w:i/>
          <w:iCs/>
          <w:sz w:val="22"/>
          <w:szCs w:val="22"/>
        </w:rPr>
      </w:pPr>
      <w:r w:rsidRPr="004D5B7F">
        <w:rPr>
          <w:rFonts w:ascii="Arial" w:hAnsi="Arial"/>
          <w:b/>
          <w:bCs/>
          <w:i/>
          <w:iCs/>
          <w:sz w:val="22"/>
          <w:szCs w:val="22"/>
        </w:rPr>
        <w:t>Réponse : Le dispositif temps de travail pour les non cadres repose sur un horaire hebdomadaire (37h30), une possibilité de débit/crédit (+ / - 4 heures par semaine), une plage d’horaire variable (à préciser), la possibilité de récupérer les heures travaillées au-delà du crédit maximum hebdomadaire autorisé, avec accord expresse de la hiérarchie (10 demi-journées).</w:t>
      </w:r>
    </w:p>
    <w:p w:rsidR="00F75452" w:rsidRPr="004D5B7F" w:rsidRDefault="00F75452" w:rsidP="00F75452">
      <w:pPr>
        <w:rPr>
          <w:rFonts w:ascii="Arial" w:hAnsi="Arial" w:cs="Arial"/>
          <w:sz w:val="22"/>
          <w:szCs w:val="22"/>
        </w:rPr>
      </w:pPr>
    </w:p>
    <w:p w:rsidR="00094C2A" w:rsidRPr="004D5B7F" w:rsidRDefault="00094C2A" w:rsidP="00094C2A">
      <w:pPr>
        <w:pStyle w:val="Paragraphedeliste"/>
        <w:numPr>
          <w:ilvl w:val="0"/>
          <w:numId w:val="1"/>
        </w:numPr>
        <w:tabs>
          <w:tab w:val="clear" w:pos="720"/>
          <w:tab w:val="num" w:pos="360"/>
        </w:tabs>
        <w:ind w:left="360"/>
        <w:jc w:val="both"/>
        <w:rPr>
          <w:rFonts w:ascii="Arial" w:hAnsi="Arial" w:cs="Arial"/>
          <w:sz w:val="22"/>
          <w:szCs w:val="22"/>
        </w:rPr>
      </w:pPr>
      <w:r w:rsidRPr="004D5B7F">
        <w:rPr>
          <w:rFonts w:ascii="Arial" w:hAnsi="Arial" w:cs="Arial"/>
          <w:sz w:val="22"/>
          <w:szCs w:val="22"/>
        </w:rPr>
        <w:t xml:space="preserve">De multiples incompréhensions du personnel ont accompagné l’annonce du projet de réorganisation. La Direction peut-elle préciser le </w:t>
      </w:r>
      <w:proofErr w:type="spellStart"/>
      <w:r w:rsidRPr="004D5B7F">
        <w:rPr>
          <w:rFonts w:ascii="Arial" w:hAnsi="Arial" w:cs="Arial"/>
          <w:sz w:val="22"/>
          <w:szCs w:val="22"/>
        </w:rPr>
        <w:t>process</w:t>
      </w:r>
      <w:proofErr w:type="spellEnd"/>
      <w:r w:rsidRPr="004D5B7F">
        <w:rPr>
          <w:rFonts w:ascii="Arial" w:hAnsi="Arial" w:cs="Arial"/>
          <w:sz w:val="22"/>
          <w:szCs w:val="22"/>
        </w:rPr>
        <w:t xml:space="preserve"> légal à suivre dans le cadre d’une réorganisation de cette ampleur (instances informées ou consultées, timing …)</w:t>
      </w:r>
    </w:p>
    <w:p w:rsidR="00F75452" w:rsidRPr="004D5B7F" w:rsidRDefault="00F75452" w:rsidP="00F75452">
      <w:pPr>
        <w:rPr>
          <w:rFonts w:ascii="Arial" w:hAnsi="Arial" w:cs="Arial"/>
          <w:sz w:val="22"/>
          <w:szCs w:val="22"/>
        </w:rPr>
      </w:pPr>
    </w:p>
    <w:p w:rsidR="008756AF" w:rsidRPr="008756AF" w:rsidRDefault="008756AF" w:rsidP="008756AF">
      <w:pPr>
        <w:spacing w:after="200" w:line="276" w:lineRule="auto"/>
        <w:jc w:val="both"/>
        <w:rPr>
          <w:rFonts w:ascii="Arial" w:eastAsia="Calibri" w:hAnsi="Arial" w:cs="Arial"/>
          <w:b/>
          <w:bCs/>
          <w:i/>
          <w:iCs/>
          <w:sz w:val="22"/>
          <w:szCs w:val="22"/>
          <w:lang w:eastAsia="en-US"/>
        </w:rPr>
      </w:pPr>
      <w:r w:rsidRPr="004D5B7F">
        <w:rPr>
          <w:rFonts w:ascii="Arial" w:eastAsia="Calibri" w:hAnsi="Arial" w:cs="Arial"/>
          <w:b/>
          <w:bCs/>
          <w:i/>
          <w:iCs/>
          <w:sz w:val="22"/>
          <w:szCs w:val="22"/>
          <w:lang w:eastAsia="en-US"/>
        </w:rPr>
        <w:t>Réponse : L</w:t>
      </w:r>
      <w:r w:rsidRPr="008756AF">
        <w:rPr>
          <w:rFonts w:ascii="Arial" w:eastAsia="Calibri" w:hAnsi="Arial" w:cs="Arial"/>
          <w:b/>
          <w:bCs/>
          <w:i/>
          <w:iCs/>
          <w:sz w:val="22"/>
          <w:szCs w:val="22"/>
          <w:lang w:eastAsia="en-US"/>
        </w:rPr>
        <w:t>orsque l’entreprise projette de faire évoluer son organisation, de manière significative, le code du travail prévoit que les instances représentatives du personnel soient informées, voire consultées. Cette étape doit avoir lieu, avant d’informer largement les collaborateurs. En ce qui concerne l’évolution de l’organisation d’ISO, le Comité d’Etablissement de Vélizy, a accepté, lors de la réunion d’information du 12 décembre dernier, qu’une information soit faite au personnel d’ISO alors que la réunion de consultation était envisagée début janvier. Le CHSCT de Vélizy a également été informé de l’évolution de cette organisation, puis consulté, préalablement aux réunions du Comité d’Etablissement.</w:t>
      </w:r>
    </w:p>
    <w:p w:rsidR="00F75452" w:rsidRPr="004D5B7F" w:rsidRDefault="00F75452" w:rsidP="00F75452">
      <w:pPr>
        <w:rPr>
          <w:rFonts w:ascii="Arial" w:hAnsi="Arial" w:cs="Arial"/>
          <w:sz w:val="22"/>
          <w:szCs w:val="22"/>
        </w:rPr>
      </w:pPr>
    </w:p>
    <w:p w:rsidR="00094C2A" w:rsidRPr="004D5B7F" w:rsidRDefault="00094C2A" w:rsidP="00094C2A">
      <w:pPr>
        <w:pStyle w:val="Paragraphedeliste"/>
        <w:numPr>
          <w:ilvl w:val="0"/>
          <w:numId w:val="1"/>
        </w:numPr>
        <w:tabs>
          <w:tab w:val="clear" w:pos="720"/>
          <w:tab w:val="num" w:pos="360"/>
        </w:tabs>
        <w:ind w:left="360"/>
        <w:jc w:val="both"/>
        <w:rPr>
          <w:rFonts w:ascii="Arial" w:hAnsi="Arial" w:cs="Arial"/>
          <w:sz w:val="22"/>
          <w:szCs w:val="22"/>
        </w:rPr>
      </w:pPr>
      <w:r w:rsidRPr="004D5B7F">
        <w:rPr>
          <w:rFonts w:ascii="Arial" w:hAnsi="Arial" w:cs="Arial"/>
          <w:sz w:val="22"/>
          <w:szCs w:val="22"/>
        </w:rPr>
        <w:t>Un technicien a été embauché en 2013 pour répondre à un besoin. Il change de positionnement dans l’organigramme. Ses missions vont-elles changer ?</w:t>
      </w:r>
    </w:p>
    <w:p w:rsidR="007649B7" w:rsidRPr="004D5B7F" w:rsidRDefault="007649B7" w:rsidP="007649B7">
      <w:pPr>
        <w:rPr>
          <w:rFonts w:ascii="Arial" w:hAnsi="Arial" w:cs="Arial"/>
          <w:sz w:val="22"/>
          <w:szCs w:val="22"/>
        </w:rPr>
      </w:pPr>
    </w:p>
    <w:p w:rsidR="007649B7" w:rsidRPr="004D5B7F" w:rsidRDefault="007649B7" w:rsidP="001F4CA4">
      <w:pPr>
        <w:jc w:val="both"/>
        <w:rPr>
          <w:rFonts w:ascii="Arial" w:hAnsi="Arial" w:cs="Arial"/>
          <w:b/>
          <w:bCs/>
          <w:i/>
          <w:iCs/>
          <w:sz w:val="22"/>
          <w:szCs w:val="22"/>
        </w:rPr>
      </w:pPr>
      <w:r w:rsidRPr="004D5B7F">
        <w:rPr>
          <w:rFonts w:ascii="Arial" w:hAnsi="Arial"/>
          <w:b/>
          <w:bCs/>
          <w:i/>
          <w:iCs/>
          <w:sz w:val="22"/>
          <w:szCs w:val="22"/>
        </w:rPr>
        <w:lastRenderedPageBreak/>
        <w:t>Réponse : Les missions du technicien ne changent pas, elles sont en support de l’ensemble du laboratoire (gestion de parc et gestion d’échantillons). L’objectif lié à l’aspect gestion des échantillons sera également assuré en transverse pour l’ensemble du laboratoire.</w:t>
      </w:r>
    </w:p>
    <w:p w:rsidR="007649B7" w:rsidRPr="004D5B7F" w:rsidRDefault="007649B7" w:rsidP="001F4CA4">
      <w:pPr>
        <w:jc w:val="both"/>
        <w:rPr>
          <w:rFonts w:ascii="Arial" w:hAnsi="Arial" w:cs="Arial"/>
          <w:sz w:val="22"/>
          <w:szCs w:val="22"/>
        </w:rPr>
      </w:pPr>
    </w:p>
    <w:p w:rsidR="00094C2A" w:rsidRPr="004D5B7F" w:rsidRDefault="00094C2A" w:rsidP="00094C2A">
      <w:pPr>
        <w:pStyle w:val="Paragraphedeliste"/>
        <w:numPr>
          <w:ilvl w:val="0"/>
          <w:numId w:val="1"/>
        </w:numPr>
        <w:tabs>
          <w:tab w:val="clear" w:pos="720"/>
          <w:tab w:val="num" w:pos="360"/>
        </w:tabs>
        <w:ind w:left="360"/>
        <w:jc w:val="both"/>
        <w:rPr>
          <w:rFonts w:ascii="Arial" w:hAnsi="Arial" w:cs="Arial"/>
          <w:sz w:val="22"/>
          <w:szCs w:val="22"/>
        </w:rPr>
      </w:pPr>
      <w:r w:rsidRPr="004D5B7F">
        <w:rPr>
          <w:rFonts w:ascii="Arial" w:hAnsi="Arial" w:cs="Arial"/>
          <w:sz w:val="22"/>
          <w:szCs w:val="22"/>
        </w:rPr>
        <w:t>Avec un nouveau changement de RH annoncé pour Toulouse, les salariés ont peur que tout le travail engagé à ce jour soit perdu. La transmission des informations au cas par cas est-elle prévue ?</w:t>
      </w:r>
    </w:p>
    <w:p w:rsidR="00094C2A" w:rsidRPr="004D5B7F" w:rsidRDefault="00094C2A" w:rsidP="007649B7">
      <w:pPr>
        <w:rPr>
          <w:rFonts w:ascii="Arial" w:hAnsi="Arial" w:cs="Arial"/>
          <w:sz w:val="22"/>
          <w:szCs w:val="22"/>
        </w:rPr>
      </w:pPr>
    </w:p>
    <w:p w:rsidR="007649B7" w:rsidRPr="004D5B7F" w:rsidRDefault="007649B7" w:rsidP="007649B7">
      <w:pPr>
        <w:jc w:val="both"/>
        <w:rPr>
          <w:rFonts w:ascii="Arial" w:hAnsi="Arial" w:cs="Arial"/>
          <w:b/>
          <w:bCs/>
          <w:i/>
          <w:iCs/>
          <w:sz w:val="22"/>
          <w:szCs w:val="22"/>
        </w:rPr>
      </w:pPr>
      <w:r w:rsidRPr="004D5B7F">
        <w:rPr>
          <w:rFonts w:ascii="Arial" w:hAnsi="Arial" w:cs="Arial"/>
          <w:b/>
          <w:bCs/>
          <w:i/>
          <w:iCs/>
          <w:sz w:val="22"/>
          <w:szCs w:val="22"/>
        </w:rPr>
        <w:t xml:space="preserve">Réponse : </w:t>
      </w:r>
      <w:r w:rsidRPr="004D5B7F">
        <w:rPr>
          <w:rFonts w:ascii="Arial" w:hAnsi="Arial"/>
          <w:b/>
          <w:bCs/>
          <w:i/>
          <w:iCs/>
          <w:sz w:val="22"/>
          <w:szCs w:val="22"/>
        </w:rPr>
        <w:t>Avant l’annonce qui a été faite ce jour, un biseau a commencé avec S</w:t>
      </w:r>
      <w:r w:rsidR="00D87EBA">
        <w:rPr>
          <w:rFonts w:ascii="Arial" w:hAnsi="Arial"/>
          <w:b/>
          <w:bCs/>
          <w:i/>
          <w:iCs/>
          <w:sz w:val="22"/>
          <w:szCs w:val="22"/>
        </w:rPr>
        <w:t>téphanie</w:t>
      </w:r>
      <w:r w:rsidRPr="004D5B7F">
        <w:rPr>
          <w:rFonts w:ascii="Arial" w:hAnsi="Arial"/>
          <w:b/>
          <w:bCs/>
          <w:i/>
          <w:iCs/>
          <w:sz w:val="22"/>
          <w:szCs w:val="22"/>
        </w:rPr>
        <w:t xml:space="preserve"> Giraud, sur les sujets en cours, et sera pours</w:t>
      </w:r>
      <w:bookmarkStart w:id="0" w:name="_GoBack"/>
      <w:bookmarkEnd w:id="0"/>
      <w:r w:rsidRPr="004D5B7F">
        <w:rPr>
          <w:rFonts w:ascii="Arial" w:hAnsi="Arial"/>
          <w:b/>
          <w:bCs/>
          <w:i/>
          <w:iCs/>
          <w:sz w:val="22"/>
          <w:szCs w:val="22"/>
        </w:rPr>
        <w:t>uivi. Stéphanie sera présente lors de l’atelier rémunération du 9 janvier prochain.</w:t>
      </w:r>
    </w:p>
    <w:p w:rsidR="007649B7" w:rsidRPr="004D5B7F" w:rsidRDefault="007649B7" w:rsidP="007649B7">
      <w:pPr>
        <w:rPr>
          <w:rFonts w:ascii="Arial" w:hAnsi="Arial" w:cs="Arial"/>
          <w:sz w:val="22"/>
          <w:szCs w:val="22"/>
        </w:rPr>
      </w:pPr>
    </w:p>
    <w:p w:rsidR="00094C2A" w:rsidRPr="004D5B7F" w:rsidRDefault="00094C2A" w:rsidP="00094C2A">
      <w:pPr>
        <w:pStyle w:val="Paragraphedeliste"/>
        <w:numPr>
          <w:ilvl w:val="0"/>
          <w:numId w:val="1"/>
        </w:numPr>
        <w:tabs>
          <w:tab w:val="clear" w:pos="720"/>
          <w:tab w:val="num" w:pos="360"/>
        </w:tabs>
        <w:ind w:left="360"/>
        <w:jc w:val="both"/>
        <w:rPr>
          <w:rFonts w:ascii="Arial" w:hAnsi="Arial" w:cs="Arial"/>
          <w:sz w:val="22"/>
          <w:szCs w:val="22"/>
        </w:rPr>
      </w:pPr>
      <w:r w:rsidRPr="004D5B7F">
        <w:rPr>
          <w:rFonts w:ascii="Arial" w:hAnsi="Arial" w:cs="Arial"/>
          <w:sz w:val="22"/>
          <w:szCs w:val="22"/>
        </w:rPr>
        <w:t xml:space="preserve">Une réorganisation du Top Management a été présentée. Néanmoins, il aurait été attendu des solutions pour soulager les équipes intermédiaires qui grossissent (middle management).  Qu’est-il prévu ? </w:t>
      </w:r>
    </w:p>
    <w:p w:rsidR="00094C2A" w:rsidRPr="004D5B7F" w:rsidRDefault="00094C2A" w:rsidP="00094C2A">
      <w:pPr>
        <w:tabs>
          <w:tab w:val="num" w:pos="360"/>
        </w:tabs>
        <w:jc w:val="both"/>
        <w:rPr>
          <w:rFonts w:ascii="Arial" w:hAnsi="Arial" w:cs="Arial"/>
          <w:b/>
          <w:bCs/>
          <w:i/>
          <w:iCs/>
          <w:sz w:val="22"/>
          <w:szCs w:val="22"/>
        </w:rPr>
      </w:pPr>
    </w:p>
    <w:p w:rsidR="00C24827" w:rsidRPr="004D5B7F" w:rsidRDefault="00C24827" w:rsidP="00094C2A">
      <w:pPr>
        <w:tabs>
          <w:tab w:val="num" w:pos="360"/>
        </w:tabs>
        <w:jc w:val="both"/>
        <w:rPr>
          <w:rFonts w:ascii="Arial" w:hAnsi="Arial" w:cs="Arial"/>
          <w:b/>
          <w:bCs/>
          <w:i/>
          <w:iCs/>
          <w:sz w:val="22"/>
          <w:szCs w:val="22"/>
        </w:rPr>
      </w:pPr>
      <w:r w:rsidRPr="004D5B7F">
        <w:rPr>
          <w:rFonts w:ascii="Arial" w:hAnsi="Arial"/>
          <w:b/>
          <w:bCs/>
          <w:i/>
          <w:iCs/>
          <w:sz w:val="22"/>
          <w:szCs w:val="22"/>
        </w:rPr>
        <w:t>Réponse : Le manager du pôle est le responsable hiérarchique de l’ensemble des collaborateurs du pôle. Il a la capacité de déléguer la gestion RH d’une partie de son équipe à un tiers, mis en situation de management. Le réfèrent reporte/échange avec le manager hiérarchique sur toutes les actions de management en lien avec la gestion RH des collaborateurs.</w:t>
      </w:r>
    </w:p>
    <w:p w:rsidR="00C24827" w:rsidRPr="004D5B7F" w:rsidRDefault="00C24827" w:rsidP="00094C2A">
      <w:pPr>
        <w:tabs>
          <w:tab w:val="num" w:pos="360"/>
        </w:tabs>
        <w:jc w:val="both"/>
        <w:rPr>
          <w:rFonts w:ascii="Arial" w:hAnsi="Arial" w:cs="Arial"/>
          <w:sz w:val="22"/>
          <w:szCs w:val="22"/>
        </w:rPr>
      </w:pPr>
    </w:p>
    <w:p w:rsidR="00094C2A" w:rsidRPr="004D5B7F" w:rsidRDefault="00094C2A" w:rsidP="00094C2A">
      <w:pPr>
        <w:pStyle w:val="Paragraphedeliste"/>
        <w:numPr>
          <w:ilvl w:val="0"/>
          <w:numId w:val="1"/>
        </w:numPr>
        <w:tabs>
          <w:tab w:val="clear" w:pos="720"/>
          <w:tab w:val="num" w:pos="360"/>
        </w:tabs>
        <w:ind w:left="360"/>
        <w:jc w:val="both"/>
        <w:rPr>
          <w:rFonts w:ascii="Arial" w:hAnsi="Arial" w:cs="Arial"/>
          <w:sz w:val="22"/>
          <w:szCs w:val="22"/>
        </w:rPr>
      </w:pPr>
      <w:r w:rsidRPr="004D5B7F">
        <w:rPr>
          <w:rFonts w:ascii="Arial" w:hAnsi="Arial" w:cs="Arial"/>
          <w:sz w:val="22"/>
          <w:szCs w:val="22"/>
        </w:rPr>
        <w:t>Les nouveaux postes de Management ont-ils été ouverts à l’extérieur / à l’intérieur du CODIR élargi ? Quels ont été les critères de sélection ?</w:t>
      </w:r>
    </w:p>
    <w:p w:rsidR="005F4322" w:rsidRPr="004D5B7F" w:rsidRDefault="005F4322" w:rsidP="005F4322">
      <w:pPr>
        <w:jc w:val="both"/>
        <w:rPr>
          <w:rFonts w:ascii="Arial" w:hAnsi="Arial" w:cs="Arial"/>
          <w:sz w:val="22"/>
          <w:szCs w:val="22"/>
        </w:rPr>
      </w:pPr>
    </w:p>
    <w:p w:rsidR="005F4322" w:rsidRPr="004D5B7F" w:rsidRDefault="005F4322" w:rsidP="005F4322">
      <w:pPr>
        <w:jc w:val="both"/>
        <w:rPr>
          <w:rFonts w:ascii="Arial" w:hAnsi="Arial" w:cs="Arial"/>
          <w:b/>
          <w:bCs/>
          <w:i/>
          <w:iCs/>
          <w:sz w:val="22"/>
          <w:szCs w:val="22"/>
        </w:rPr>
      </w:pPr>
      <w:r w:rsidRPr="004D5B7F">
        <w:rPr>
          <w:rFonts w:ascii="Arial" w:hAnsi="Arial" w:cs="Arial"/>
          <w:b/>
          <w:bCs/>
          <w:i/>
          <w:iCs/>
          <w:sz w:val="22"/>
          <w:szCs w:val="22"/>
        </w:rPr>
        <w:t xml:space="preserve">Réponse : </w:t>
      </w:r>
      <w:r w:rsidRPr="004D5B7F">
        <w:rPr>
          <w:rFonts w:ascii="Arial" w:hAnsi="Arial"/>
          <w:b/>
          <w:bCs/>
          <w:i/>
          <w:iCs/>
          <w:sz w:val="22"/>
          <w:szCs w:val="22"/>
        </w:rPr>
        <w:t>Il n’y a pas eu d’ouvertures de postes pour les postes de RT, BPM, Responsable Production et approvisionnement. L’évolution de l’organisation a été travaillée de manière non nominative avec les membres du CODIR élargi. Puis il y a eu des entretiens managériaux individuels avec les membres du CODIR élargi, et une concertation avec la direction du Domaine ITS, de façon à attribuer la responsabilité des « boites » aux personnes. Pour les « boites » non affectées, il y aura des ouvertures de poste.</w:t>
      </w:r>
    </w:p>
    <w:p w:rsidR="00094C2A" w:rsidRPr="004D5B7F" w:rsidRDefault="00094C2A" w:rsidP="00835B2D">
      <w:pPr>
        <w:jc w:val="both"/>
        <w:rPr>
          <w:rFonts w:ascii="Arial" w:hAnsi="Arial" w:cs="Arial"/>
          <w:sz w:val="22"/>
          <w:szCs w:val="22"/>
          <w:highlight w:val="yellow"/>
        </w:rPr>
      </w:pPr>
    </w:p>
    <w:p w:rsidR="00094C2A" w:rsidRPr="004D5B7F" w:rsidRDefault="00094C2A" w:rsidP="00094C2A">
      <w:pPr>
        <w:pStyle w:val="Paragraphedeliste"/>
        <w:numPr>
          <w:ilvl w:val="0"/>
          <w:numId w:val="1"/>
        </w:numPr>
        <w:tabs>
          <w:tab w:val="clear" w:pos="720"/>
          <w:tab w:val="num" w:pos="360"/>
        </w:tabs>
        <w:ind w:left="360"/>
        <w:jc w:val="both"/>
        <w:rPr>
          <w:rFonts w:ascii="Arial" w:hAnsi="Arial" w:cs="Arial"/>
          <w:sz w:val="22"/>
          <w:szCs w:val="22"/>
        </w:rPr>
      </w:pPr>
      <w:r w:rsidRPr="004D5B7F">
        <w:rPr>
          <w:rFonts w:ascii="Arial" w:hAnsi="Arial" w:cs="Arial"/>
          <w:sz w:val="22"/>
          <w:szCs w:val="22"/>
        </w:rPr>
        <w:t>Des nouveaux rôles sont créés. Une formation pour les personnes concernées est-elle prévue ? Si oui, sur quel budget ces formations seraient prises ? Cela aura-t-il un impact sur les formations déjà retenues pour les autres collaborateurs ?</w:t>
      </w:r>
    </w:p>
    <w:p w:rsidR="005F4322" w:rsidRPr="004D5B7F" w:rsidRDefault="005F4322" w:rsidP="005F4322">
      <w:pPr>
        <w:pStyle w:val="Paragraphedeliste"/>
        <w:ind w:left="360"/>
        <w:jc w:val="both"/>
        <w:rPr>
          <w:rFonts w:ascii="Arial" w:hAnsi="Arial" w:cs="Arial"/>
          <w:sz w:val="22"/>
          <w:szCs w:val="22"/>
        </w:rPr>
      </w:pPr>
    </w:p>
    <w:p w:rsidR="00094C2A" w:rsidRPr="004D5B7F" w:rsidRDefault="005F4322" w:rsidP="00094C2A">
      <w:pPr>
        <w:jc w:val="both"/>
        <w:rPr>
          <w:rFonts w:ascii="Arial" w:hAnsi="Arial" w:cs="Arial"/>
          <w:b/>
          <w:bCs/>
          <w:i/>
          <w:iCs/>
          <w:sz w:val="22"/>
          <w:szCs w:val="22"/>
        </w:rPr>
      </w:pPr>
      <w:r w:rsidRPr="004D5B7F">
        <w:rPr>
          <w:rFonts w:ascii="Arial" w:hAnsi="Arial"/>
          <w:b/>
          <w:bCs/>
          <w:i/>
          <w:iCs/>
          <w:sz w:val="22"/>
          <w:szCs w:val="22"/>
        </w:rPr>
        <w:t xml:space="preserve">Réponse : Une formation spécifique a été organisée en 2013 pour le CODIR élargi, qui a donné lieu à plusieurs chantiers, dont l’évolution de l’organisation. Cette formation sera complétée par une session de 2 jours en 2014. Les nouveaux managers recevront la formation passeport to people management. Sur la partie technique, production et </w:t>
      </w:r>
      <w:proofErr w:type="spellStart"/>
      <w:r w:rsidRPr="004D5B7F">
        <w:rPr>
          <w:rFonts w:ascii="Arial" w:hAnsi="Arial"/>
          <w:b/>
          <w:bCs/>
          <w:i/>
          <w:iCs/>
          <w:sz w:val="22"/>
          <w:szCs w:val="22"/>
        </w:rPr>
        <w:t>bid</w:t>
      </w:r>
      <w:proofErr w:type="spellEnd"/>
      <w:r w:rsidRPr="004D5B7F">
        <w:rPr>
          <w:rFonts w:ascii="Arial" w:hAnsi="Arial"/>
          <w:b/>
          <w:bCs/>
          <w:i/>
          <w:iCs/>
          <w:sz w:val="22"/>
          <w:szCs w:val="22"/>
        </w:rPr>
        <w:t xml:space="preserve"> &amp; </w:t>
      </w:r>
      <w:proofErr w:type="spellStart"/>
      <w:r w:rsidRPr="004D5B7F">
        <w:rPr>
          <w:rFonts w:ascii="Arial" w:hAnsi="Arial"/>
          <w:b/>
          <w:bCs/>
          <w:i/>
          <w:iCs/>
          <w:sz w:val="22"/>
          <w:szCs w:val="22"/>
        </w:rPr>
        <w:t>project</w:t>
      </w:r>
      <w:proofErr w:type="spellEnd"/>
      <w:r w:rsidRPr="004D5B7F">
        <w:rPr>
          <w:rFonts w:ascii="Arial" w:hAnsi="Arial"/>
          <w:b/>
          <w:bCs/>
          <w:i/>
          <w:iCs/>
          <w:sz w:val="22"/>
          <w:szCs w:val="22"/>
        </w:rPr>
        <w:t xml:space="preserve"> management, la direction d’ISO fixera des objectifs notamment en matière de </w:t>
      </w:r>
      <w:proofErr w:type="spellStart"/>
      <w:r w:rsidRPr="004D5B7F">
        <w:rPr>
          <w:rFonts w:ascii="Arial" w:hAnsi="Arial"/>
          <w:b/>
          <w:bCs/>
          <w:i/>
          <w:iCs/>
          <w:sz w:val="22"/>
          <w:szCs w:val="22"/>
        </w:rPr>
        <w:t>reporting</w:t>
      </w:r>
      <w:proofErr w:type="spellEnd"/>
      <w:r w:rsidRPr="004D5B7F">
        <w:rPr>
          <w:rFonts w:ascii="Arial" w:hAnsi="Arial"/>
          <w:b/>
          <w:bCs/>
          <w:i/>
          <w:iCs/>
          <w:sz w:val="22"/>
          <w:szCs w:val="22"/>
        </w:rPr>
        <w:t>. Ces mises en situation sont source d’acquisition d’expériences nouvelles et de développement professionnel.</w:t>
      </w:r>
    </w:p>
    <w:p w:rsidR="005F4322" w:rsidRPr="004D5B7F" w:rsidRDefault="005F4322" w:rsidP="00094C2A">
      <w:pPr>
        <w:jc w:val="both"/>
        <w:rPr>
          <w:rFonts w:ascii="Arial" w:hAnsi="Arial" w:cs="Arial"/>
          <w:sz w:val="22"/>
          <w:szCs w:val="22"/>
        </w:rPr>
      </w:pPr>
    </w:p>
    <w:p w:rsidR="00094C2A" w:rsidRPr="004D5B7F" w:rsidRDefault="00094C2A" w:rsidP="00094C2A">
      <w:pPr>
        <w:pStyle w:val="Paragraphedeliste"/>
        <w:numPr>
          <w:ilvl w:val="0"/>
          <w:numId w:val="1"/>
        </w:numPr>
        <w:tabs>
          <w:tab w:val="clear" w:pos="720"/>
          <w:tab w:val="num" w:pos="360"/>
        </w:tabs>
        <w:ind w:left="360"/>
        <w:jc w:val="both"/>
        <w:rPr>
          <w:rFonts w:ascii="Arial" w:hAnsi="Arial" w:cs="Arial"/>
          <w:sz w:val="22"/>
          <w:szCs w:val="22"/>
        </w:rPr>
      </w:pPr>
      <w:r w:rsidRPr="004D5B7F">
        <w:rPr>
          <w:rFonts w:ascii="Arial" w:hAnsi="Arial" w:cs="Arial"/>
          <w:sz w:val="22"/>
          <w:szCs w:val="22"/>
        </w:rPr>
        <w:t>Quand cette réorganisation sera-t-elle applicable ? Quand les fiches de postes sont-elles prévues d’être signées pour ces nouveaux postes?</w:t>
      </w:r>
    </w:p>
    <w:p w:rsidR="005F4322" w:rsidRPr="004D5B7F" w:rsidRDefault="005F4322" w:rsidP="005F4322">
      <w:pPr>
        <w:jc w:val="both"/>
        <w:rPr>
          <w:rFonts w:ascii="Arial" w:hAnsi="Arial" w:cs="Arial"/>
          <w:sz w:val="22"/>
          <w:szCs w:val="22"/>
        </w:rPr>
      </w:pPr>
    </w:p>
    <w:p w:rsidR="005F4322" w:rsidRPr="004D5B7F" w:rsidRDefault="00C032EB" w:rsidP="00280D92">
      <w:pPr>
        <w:spacing w:after="200" w:line="276" w:lineRule="auto"/>
        <w:jc w:val="both"/>
        <w:rPr>
          <w:rFonts w:ascii="Arial" w:eastAsia="Calibri" w:hAnsi="Arial" w:cs="Arial"/>
          <w:b/>
          <w:bCs/>
          <w:i/>
          <w:iCs/>
          <w:sz w:val="22"/>
          <w:szCs w:val="22"/>
          <w:lang w:eastAsia="en-US"/>
        </w:rPr>
      </w:pPr>
      <w:r w:rsidRPr="004D5B7F">
        <w:rPr>
          <w:rFonts w:ascii="Arial" w:eastAsia="Calibri" w:hAnsi="Arial" w:cs="Arial"/>
          <w:b/>
          <w:bCs/>
          <w:i/>
          <w:iCs/>
          <w:sz w:val="22"/>
          <w:szCs w:val="22"/>
          <w:lang w:eastAsia="en-US"/>
        </w:rPr>
        <w:t xml:space="preserve">Réponse : </w:t>
      </w:r>
      <w:r w:rsidRPr="00C032EB">
        <w:rPr>
          <w:rFonts w:ascii="Arial" w:eastAsia="Calibri" w:hAnsi="Arial" w:cs="Arial"/>
          <w:b/>
          <w:bCs/>
          <w:i/>
          <w:iCs/>
          <w:sz w:val="22"/>
          <w:szCs w:val="22"/>
          <w:lang w:eastAsia="en-US"/>
        </w:rPr>
        <w:t xml:space="preserve">L’organisation sera applicable au courant du mois de janvier. </w:t>
      </w:r>
      <w:r w:rsidRPr="004D5B7F">
        <w:rPr>
          <w:rFonts w:ascii="Arial" w:eastAsia="Calibri" w:hAnsi="Arial" w:cs="Arial"/>
          <w:b/>
          <w:bCs/>
          <w:i/>
          <w:iCs/>
          <w:sz w:val="22"/>
          <w:szCs w:val="22"/>
          <w:lang w:eastAsia="en-US"/>
        </w:rPr>
        <w:t>Les missions des managers sont décrites dans la note d’organisation. Les</w:t>
      </w:r>
      <w:r w:rsidRPr="00C032EB">
        <w:rPr>
          <w:rFonts w:ascii="Arial" w:eastAsia="Calibri" w:hAnsi="Arial" w:cs="Arial"/>
          <w:b/>
          <w:bCs/>
          <w:i/>
          <w:iCs/>
          <w:sz w:val="22"/>
          <w:szCs w:val="22"/>
          <w:lang w:eastAsia="en-US"/>
        </w:rPr>
        <w:t xml:space="preserve"> missions permanentes allouées à chacun </w:t>
      </w:r>
      <w:r w:rsidRPr="004D5B7F">
        <w:rPr>
          <w:rFonts w:ascii="Arial" w:eastAsia="Calibri" w:hAnsi="Arial" w:cs="Arial"/>
          <w:b/>
          <w:bCs/>
          <w:i/>
          <w:iCs/>
          <w:sz w:val="22"/>
          <w:szCs w:val="22"/>
          <w:lang w:eastAsia="en-US"/>
        </w:rPr>
        <w:t xml:space="preserve">des collaborateurs </w:t>
      </w:r>
      <w:r w:rsidRPr="00C032EB">
        <w:rPr>
          <w:rFonts w:ascii="Arial" w:eastAsia="Calibri" w:hAnsi="Arial" w:cs="Arial"/>
          <w:b/>
          <w:bCs/>
          <w:i/>
          <w:iCs/>
          <w:sz w:val="22"/>
          <w:szCs w:val="22"/>
          <w:lang w:eastAsia="en-US"/>
        </w:rPr>
        <w:t>dans le cadre de la nouvelle organisation seront décrites lors de l’entretien sur les objectifs 2014.</w:t>
      </w:r>
    </w:p>
    <w:p w:rsidR="00094C2A" w:rsidRPr="004D5B7F" w:rsidRDefault="00094C2A" w:rsidP="00094C2A">
      <w:pPr>
        <w:pStyle w:val="Paragraphedeliste"/>
        <w:numPr>
          <w:ilvl w:val="0"/>
          <w:numId w:val="1"/>
        </w:numPr>
        <w:tabs>
          <w:tab w:val="clear" w:pos="720"/>
          <w:tab w:val="num" w:pos="360"/>
        </w:tabs>
        <w:ind w:left="360"/>
        <w:jc w:val="both"/>
        <w:rPr>
          <w:rFonts w:ascii="Arial" w:hAnsi="Arial" w:cs="Arial"/>
          <w:sz w:val="22"/>
          <w:szCs w:val="22"/>
        </w:rPr>
      </w:pPr>
      <w:r w:rsidRPr="004D5B7F">
        <w:rPr>
          <w:rFonts w:ascii="Arial" w:hAnsi="Arial" w:cs="Arial"/>
          <w:sz w:val="22"/>
          <w:szCs w:val="22"/>
        </w:rPr>
        <w:lastRenderedPageBreak/>
        <w:t>Quelle information doit être donnée aux clients ? Et quand ?</w:t>
      </w:r>
    </w:p>
    <w:p w:rsidR="005F4322" w:rsidRPr="004D5B7F" w:rsidRDefault="005F4322" w:rsidP="00280D92">
      <w:pPr>
        <w:jc w:val="both"/>
        <w:rPr>
          <w:rFonts w:ascii="Arial" w:hAnsi="Arial" w:cs="Arial"/>
          <w:sz w:val="22"/>
          <w:szCs w:val="22"/>
        </w:rPr>
      </w:pPr>
    </w:p>
    <w:p w:rsidR="005F4322" w:rsidRPr="004D5B7F" w:rsidRDefault="005F4322" w:rsidP="00280D92">
      <w:pPr>
        <w:jc w:val="both"/>
        <w:rPr>
          <w:rFonts w:ascii="Arial" w:hAnsi="Arial" w:cs="Arial"/>
          <w:b/>
          <w:bCs/>
          <w:i/>
          <w:iCs/>
          <w:sz w:val="22"/>
          <w:szCs w:val="22"/>
        </w:rPr>
      </w:pPr>
      <w:r w:rsidRPr="004D5B7F">
        <w:rPr>
          <w:rFonts w:ascii="Arial" w:hAnsi="Arial"/>
          <w:b/>
          <w:bCs/>
          <w:i/>
          <w:iCs/>
          <w:sz w:val="22"/>
          <w:szCs w:val="22"/>
        </w:rPr>
        <w:t xml:space="preserve">Réponse : Tant que la consultation </w:t>
      </w:r>
      <w:proofErr w:type="gramStart"/>
      <w:r w:rsidRPr="004D5B7F">
        <w:rPr>
          <w:rFonts w:ascii="Arial" w:hAnsi="Arial"/>
          <w:b/>
          <w:bCs/>
          <w:i/>
          <w:iCs/>
          <w:sz w:val="22"/>
          <w:szCs w:val="22"/>
        </w:rPr>
        <w:t>du</w:t>
      </w:r>
      <w:proofErr w:type="gramEnd"/>
      <w:r w:rsidRPr="004D5B7F">
        <w:rPr>
          <w:rFonts w:ascii="Arial" w:hAnsi="Arial"/>
          <w:b/>
          <w:bCs/>
          <w:i/>
          <w:iCs/>
          <w:sz w:val="22"/>
          <w:szCs w:val="22"/>
        </w:rPr>
        <w:t xml:space="preserve"> CE n’a pas eu lieu, il n’est pas possible de donner de l’information au client, sur la nouvelle organisation.</w:t>
      </w:r>
    </w:p>
    <w:p w:rsidR="005F4322" w:rsidRPr="004D5B7F" w:rsidRDefault="005F4322" w:rsidP="005F4322">
      <w:pPr>
        <w:rPr>
          <w:rFonts w:ascii="Arial" w:hAnsi="Arial" w:cs="Arial"/>
          <w:sz w:val="22"/>
          <w:szCs w:val="22"/>
        </w:rPr>
      </w:pPr>
    </w:p>
    <w:p w:rsidR="00094C2A" w:rsidRPr="004D5B7F" w:rsidRDefault="00094C2A" w:rsidP="00094C2A">
      <w:pPr>
        <w:pStyle w:val="Paragraphedeliste"/>
        <w:numPr>
          <w:ilvl w:val="0"/>
          <w:numId w:val="1"/>
        </w:numPr>
        <w:tabs>
          <w:tab w:val="clear" w:pos="720"/>
          <w:tab w:val="num" w:pos="360"/>
        </w:tabs>
        <w:ind w:left="360"/>
        <w:jc w:val="both"/>
        <w:rPr>
          <w:rFonts w:ascii="Arial" w:hAnsi="Arial" w:cs="Arial"/>
          <w:sz w:val="22"/>
          <w:szCs w:val="22"/>
        </w:rPr>
      </w:pPr>
      <w:r w:rsidRPr="004D5B7F">
        <w:rPr>
          <w:rFonts w:ascii="Arial" w:hAnsi="Arial" w:cs="Arial"/>
          <w:sz w:val="22"/>
          <w:szCs w:val="22"/>
        </w:rPr>
        <w:t xml:space="preserve">Quelles seraient les typologies d’offres prises en charges par le Pôle B&amp;P ? Serait-ce seulement sur les offres Transverses Sécurité ou tout secteur confondu (CNES, Schlumberger entre-autres) ? </w:t>
      </w:r>
    </w:p>
    <w:p w:rsidR="00094C2A" w:rsidRPr="004D5B7F" w:rsidRDefault="00094C2A" w:rsidP="00094C2A">
      <w:pPr>
        <w:rPr>
          <w:rFonts w:ascii="Arial" w:hAnsi="Arial" w:cs="Arial"/>
          <w:sz w:val="22"/>
          <w:szCs w:val="22"/>
        </w:rPr>
      </w:pPr>
    </w:p>
    <w:p w:rsidR="005F4322" w:rsidRPr="004D5B7F" w:rsidRDefault="005F4322" w:rsidP="00280D92">
      <w:pPr>
        <w:spacing w:after="200" w:line="276" w:lineRule="auto"/>
        <w:jc w:val="both"/>
        <w:rPr>
          <w:rFonts w:ascii="Arial" w:eastAsia="Calibri" w:hAnsi="Arial" w:cs="Arial"/>
          <w:b/>
          <w:bCs/>
          <w:i/>
          <w:iCs/>
          <w:sz w:val="22"/>
          <w:szCs w:val="22"/>
          <w:lang w:eastAsia="en-US"/>
        </w:rPr>
      </w:pPr>
      <w:r w:rsidRPr="004D5B7F">
        <w:rPr>
          <w:rFonts w:ascii="Arial" w:eastAsia="Calibri" w:hAnsi="Arial" w:cs="Arial"/>
          <w:b/>
          <w:bCs/>
          <w:i/>
          <w:iCs/>
          <w:sz w:val="22"/>
          <w:szCs w:val="22"/>
          <w:lang w:eastAsia="en-US"/>
        </w:rPr>
        <w:t xml:space="preserve">Réponse : </w:t>
      </w:r>
      <w:r w:rsidRPr="005F4322">
        <w:rPr>
          <w:rFonts w:ascii="Arial" w:eastAsia="Calibri" w:hAnsi="Arial" w:cs="Arial"/>
          <w:b/>
          <w:bCs/>
          <w:i/>
          <w:iCs/>
          <w:sz w:val="22"/>
          <w:szCs w:val="22"/>
          <w:lang w:eastAsia="en-US"/>
        </w:rPr>
        <w:t xml:space="preserve">Le pôle BPM prendra en charge les offres et projets transverses. Les projets mono pôles resteront dans les pôles. La montée en charge sera progressive, en accompagnement des évolutions des projets. </w:t>
      </w:r>
    </w:p>
    <w:p w:rsidR="005F4322" w:rsidRPr="004D5B7F" w:rsidRDefault="005F4322" w:rsidP="00094C2A">
      <w:pPr>
        <w:rPr>
          <w:rFonts w:ascii="Arial" w:hAnsi="Arial" w:cs="Arial"/>
          <w:sz w:val="22"/>
          <w:szCs w:val="22"/>
        </w:rPr>
      </w:pPr>
    </w:p>
    <w:p w:rsidR="00094C2A" w:rsidRPr="004D5B7F" w:rsidRDefault="00094C2A" w:rsidP="00094C2A">
      <w:pPr>
        <w:pStyle w:val="Paragraphedeliste"/>
        <w:numPr>
          <w:ilvl w:val="0"/>
          <w:numId w:val="1"/>
        </w:numPr>
        <w:tabs>
          <w:tab w:val="clear" w:pos="720"/>
          <w:tab w:val="num" w:pos="360"/>
        </w:tabs>
        <w:ind w:left="360"/>
        <w:jc w:val="both"/>
        <w:rPr>
          <w:rFonts w:ascii="Arial" w:hAnsi="Arial" w:cs="Arial"/>
          <w:sz w:val="22"/>
          <w:szCs w:val="22"/>
        </w:rPr>
      </w:pPr>
      <w:r w:rsidRPr="004D5B7F">
        <w:rPr>
          <w:rFonts w:ascii="Arial" w:hAnsi="Arial" w:cs="Arial"/>
          <w:sz w:val="22"/>
          <w:szCs w:val="22"/>
        </w:rPr>
        <w:t>Quelle est la répartition des « 800 offres » (X offres &lt;1k€, Y offres ~1M€, Z offres entre A€ et B€…) ?</w:t>
      </w:r>
    </w:p>
    <w:p w:rsidR="00094C2A" w:rsidRPr="004D5B7F" w:rsidRDefault="00094C2A" w:rsidP="00094C2A">
      <w:pPr>
        <w:pStyle w:val="Paragraphedeliste"/>
        <w:rPr>
          <w:rFonts w:ascii="Arial" w:hAnsi="Arial" w:cs="Arial"/>
          <w:b/>
          <w:bCs/>
          <w:i/>
          <w:iCs/>
          <w:sz w:val="22"/>
          <w:szCs w:val="22"/>
        </w:rPr>
      </w:pPr>
    </w:p>
    <w:p w:rsidR="00094C2A" w:rsidRPr="004D5B7F" w:rsidRDefault="005F4322" w:rsidP="00835B2D">
      <w:pPr>
        <w:spacing w:after="200" w:line="276" w:lineRule="auto"/>
        <w:rPr>
          <w:rFonts w:ascii="Arial" w:eastAsia="Calibri" w:hAnsi="Arial" w:cs="Arial"/>
          <w:b/>
          <w:bCs/>
          <w:i/>
          <w:iCs/>
          <w:sz w:val="22"/>
          <w:szCs w:val="22"/>
          <w:lang w:eastAsia="en-US"/>
        </w:rPr>
      </w:pPr>
      <w:r w:rsidRPr="004D5B7F">
        <w:rPr>
          <w:rFonts w:ascii="Arial" w:eastAsia="Calibri" w:hAnsi="Arial" w:cs="Arial"/>
          <w:b/>
          <w:bCs/>
          <w:i/>
          <w:iCs/>
          <w:sz w:val="22"/>
          <w:szCs w:val="22"/>
          <w:lang w:eastAsia="en-US"/>
        </w:rPr>
        <w:t>Réponse :</w:t>
      </w:r>
      <w:r w:rsidR="006E161F" w:rsidRPr="004D5B7F">
        <w:rPr>
          <w:rFonts w:ascii="Arial" w:eastAsia="Calibri" w:hAnsi="Arial" w:cs="Arial"/>
          <w:b/>
          <w:bCs/>
          <w:i/>
          <w:iCs/>
          <w:sz w:val="22"/>
          <w:szCs w:val="22"/>
          <w:lang w:eastAsia="en-US"/>
        </w:rPr>
        <w:t xml:space="preserve"> R</w:t>
      </w:r>
      <w:r w:rsidRPr="005F4322">
        <w:rPr>
          <w:rFonts w:ascii="Arial" w:eastAsia="Calibri" w:hAnsi="Arial" w:cs="Arial"/>
          <w:b/>
          <w:bCs/>
          <w:i/>
          <w:iCs/>
          <w:sz w:val="22"/>
          <w:szCs w:val="22"/>
          <w:lang w:eastAsia="en-US"/>
        </w:rPr>
        <w:t>ép</w:t>
      </w:r>
      <w:r w:rsidR="006E161F" w:rsidRPr="004D5B7F">
        <w:rPr>
          <w:rFonts w:ascii="Arial" w:eastAsia="Calibri" w:hAnsi="Arial" w:cs="Arial"/>
          <w:b/>
          <w:bCs/>
          <w:i/>
          <w:iCs/>
          <w:sz w:val="22"/>
          <w:szCs w:val="22"/>
          <w:lang w:eastAsia="en-US"/>
        </w:rPr>
        <w:t>onse en réunion de DP de février</w:t>
      </w:r>
      <w:r w:rsidRPr="005F4322">
        <w:rPr>
          <w:rFonts w:ascii="Arial" w:eastAsia="Calibri" w:hAnsi="Arial" w:cs="Arial"/>
          <w:b/>
          <w:bCs/>
          <w:i/>
          <w:iCs/>
          <w:sz w:val="22"/>
          <w:szCs w:val="22"/>
          <w:lang w:eastAsia="en-US"/>
        </w:rPr>
        <w:t>.</w:t>
      </w:r>
    </w:p>
    <w:p w:rsidR="00094C2A" w:rsidRPr="004D5B7F" w:rsidRDefault="00094C2A" w:rsidP="00094C2A">
      <w:pPr>
        <w:rPr>
          <w:sz w:val="22"/>
          <w:szCs w:val="22"/>
        </w:rPr>
      </w:pPr>
    </w:p>
    <w:p w:rsidR="00E03AFF" w:rsidRDefault="00E03AFF"/>
    <w:sectPr w:rsidR="00E03AFF">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2C3F" w:rsidRDefault="002F2C3F" w:rsidP="00873B41">
      <w:r>
        <w:separator/>
      </w:r>
    </w:p>
  </w:endnote>
  <w:endnote w:type="continuationSeparator" w:id="0">
    <w:p w:rsidR="002F2C3F" w:rsidRDefault="002F2C3F" w:rsidP="00873B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8543840"/>
      <w:docPartObj>
        <w:docPartGallery w:val="Page Numbers (Bottom of Page)"/>
        <w:docPartUnique/>
      </w:docPartObj>
    </w:sdtPr>
    <w:sdtEndPr>
      <w:rPr>
        <w:rFonts w:asciiTheme="minorBidi" w:hAnsiTheme="minorBidi" w:cstheme="minorBidi"/>
        <w:sz w:val="22"/>
        <w:szCs w:val="22"/>
      </w:rPr>
    </w:sdtEndPr>
    <w:sdtContent>
      <w:p w:rsidR="005B0177" w:rsidRPr="005B0177" w:rsidRDefault="005B0177">
        <w:pPr>
          <w:pStyle w:val="Pieddepage"/>
          <w:jc w:val="center"/>
          <w:rPr>
            <w:rFonts w:asciiTheme="minorBidi" w:hAnsiTheme="minorBidi" w:cstheme="minorBidi"/>
            <w:sz w:val="22"/>
            <w:szCs w:val="22"/>
          </w:rPr>
        </w:pPr>
        <w:r w:rsidRPr="005B0177">
          <w:rPr>
            <w:rFonts w:asciiTheme="minorBidi" w:hAnsiTheme="minorBidi" w:cstheme="minorBidi"/>
            <w:sz w:val="22"/>
            <w:szCs w:val="22"/>
          </w:rPr>
          <w:fldChar w:fldCharType="begin"/>
        </w:r>
        <w:r w:rsidRPr="005B0177">
          <w:rPr>
            <w:rFonts w:asciiTheme="minorBidi" w:hAnsiTheme="minorBidi" w:cstheme="minorBidi"/>
            <w:sz w:val="22"/>
            <w:szCs w:val="22"/>
          </w:rPr>
          <w:instrText>PAGE   \* MERGEFORMAT</w:instrText>
        </w:r>
        <w:r w:rsidRPr="005B0177">
          <w:rPr>
            <w:rFonts w:asciiTheme="minorBidi" w:hAnsiTheme="minorBidi" w:cstheme="minorBidi"/>
            <w:sz w:val="22"/>
            <w:szCs w:val="22"/>
          </w:rPr>
          <w:fldChar w:fldCharType="separate"/>
        </w:r>
        <w:r w:rsidR="00D87EBA">
          <w:rPr>
            <w:rFonts w:asciiTheme="minorBidi" w:hAnsiTheme="minorBidi" w:cstheme="minorBidi"/>
            <w:noProof/>
            <w:sz w:val="22"/>
            <w:szCs w:val="22"/>
          </w:rPr>
          <w:t>3</w:t>
        </w:r>
        <w:r w:rsidRPr="005B0177">
          <w:rPr>
            <w:rFonts w:asciiTheme="minorBidi" w:hAnsiTheme="minorBidi" w:cstheme="minorBidi"/>
            <w:sz w:val="22"/>
            <w:szCs w:val="22"/>
          </w:rPr>
          <w:fldChar w:fldCharType="end"/>
        </w:r>
      </w:p>
    </w:sdtContent>
  </w:sdt>
  <w:p w:rsidR="00873B41" w:rsidRDefault="00873B41">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2C3F" w:rsidRDefault="002F2C3F" w:rsidP="00873B41">
      <w:r>
        <w:separator/>
      </w:r>
    </w:p>
  </w:footnote>
  <w:footnote w:type="continuationSeparator" w:id="0">
    <w:p w:rsidR="002F2C3F" w:rsidRDefault="002F2C3F" w:rsidP="00873B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3B41" w:rsidRDefault="00873B41" w:rsidP="00873B41">
    <w:pPr>
      <w:pStyle w:val="En-tte"/>
      <w:jc w:val="right"/>
    </w:pPr>
  </w:p>
  <w:p w:rsidR="00873B41" w:rsidRDefault="00873B41">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7B621C"/>
    <w:multiLevelType w:val="hybridMultilevel"/>
    <w:tmpl w:val="37868BCE"/>
    <w:lvl w:ilvl="0" w:tplc="0409000F">
      <w:start w:val="1"/>
      <w:numFmt w:val="decimal"/>
      <w:lvlText w:val="%1."/>
      <w:lvlJc w:val="left"/>
      <w:pPr>
        <w:tabs>
          <w:tab w:val="num" w:pos="720"/>
        </w:tabs>
        <w:ind w:left="720" w:hanging="360"/>
      </w:pPr>
      <w:rPr>
        <w:rFonts w:ascii="Times New Roman" w:hAnsi="Times New Roman"/>
      </w:rPr>
    </w:lvl>
    <w:lvl w:ilvl="1" w:tplc="98BE1BE0">
      <w:numFmt w:val="bullet"/>
      <w:lvlText w:val="-"/>
      <w:lvlJc w:val="left"/>
      <w:pPr>
        <w:tabs>
          <w:tab w:val="num" w:pos="1440"/>
        </w:tabs>
        <w:ind w:left="1440" w:hanging="360"/>
      </w:pPr>
      <w:rPr>
        <w:rFonts w:ascii="Times New Roman" w:eastAsia="Times New Roman" w:hAnsi="Times New Roman" w:cs="Times New Roman" w:hint="default"/>
      </w:rPr>
    </w:lvl>
    <w:lvl w:ilvl="2" w:tplc="040C001B">
      <w:start w:val="1"/>
      <w:numFmt w:val="decimal"/>
      <w:lvlText w:val="%3."/>
      <w:lvlJc w:val="left"/>
      <w:pPr>
        <w:tabs>
          <w:tab w:val="num" w:pos="2160"/>
        </w:tabs>
        <w:ind w:left="2160" w:hanging="360"/>
      </w:pPr>
      <w:rPr>
        <w:rFonts w:ascii="Times New Roman" w:hAnsi="Times New Roman"/>
      </w:rPr>
    </w:lvl>
    <w:lvl w:ilvl="3" w:tplc="040C000F">
      <w:start w:val="1"/>
      <w:numFmt w:val="decimal"/>
      <w:lvlText w:val="%4."/>
      <w:lvlJc w:val="left"/>
      <w:pPr>
        <w:tabs>
          <w:tab w:val="num" w:pos="2880"/>
        </w:tabs>
        <w:ind w:left="2880" w:hanging="360"/>
      </w:pPr>
      <w:rPr>
        <w:rFonts w:ascii="Times New Roman" w:hAnsi="Times New Roman"/>
      </w:rPr>
    </w:lvl>
    <w:lvl w:ilvl="4" w:tplc="040C0019">
      <w:start w:val="1"/>
      <w:numFmt w:val="decimal"/>
      <w:lvlText w:val="%5."/>
      <w:lvlJc w:val="left"/>
      <w:pPr>
        <w:tabs>
          <w:tab w:val="num" w:pos="3600"/>
        </w:tabs>
        <w:ind w:left="3600" w:hanging="360"/>
      </w:pPr>
      <w:rPr>
        <w:rFonts w:ascii="Times New Roman" w:hAnsi="Times New Roman"/>
      </w:rPr>
    </w:lvl>
    <w:lvl w:ilvl="5" w:tplc="040C001B">
      <w:start w:val="1"/>
      <w:numFmt w:val="decimal"/>
      <w:lvlText w:val="%6."/>
      <w:lvlJc w:val="left"/>
      <w:pPr>
        <w:tabs>
          <w:tab w:val="num" w:pos="4320"/>
        </w:tabs>
        <w:ind w:left="4320" w:hanging="360"/>
      </w:pPr>
      <w:rPr>
        <w:rFonts w:ascii="Times New Roman" w:hAnsi="Times New Roman"/>
      </w:rPr>
    </w:lvl>
    <w:lvl w:ilvl="6" w:tplc="040C000F">
      <w:start w:val="1"/>
      <w:numFmt w:val="decimal"/>
      <w:lvlText w:val="%7."/>
      <w:lvlJc w:val="left"/>
      <w:pPr>
        <w:tabs>
          <w:tab w:val="num" w:pos="5040"/>
        </w:tabs>
        <w:ind w:left="5040" w:hanging="360"/>
      </w:pPr>
      <w:rPr>
        <w:rFonts w:ascii="Times New Roman" w:hAnsi="Times New Roman"/>
      </w:rPr>
    </w:lvl>
    <w:lvl w:ilvl="7" w:tplc="040C0019">
      <w:start w:val="1"/>
      <w:numFmt w:val="decimal"/>
      <w:lvlText w:val="%8."/>
      <w:lvlJc w:val="left"/>
      <w:pPr>
        <w:tabs>
          <w:tab w:val="num" w:pos="5760"/>
        </w:tabs>
        <w:ind w:left="5760" w:hanging="360"/>
      </w:pPr>
      <w:rPr>
        <w:rFonts w:ascii="Times New Roman" w:hAnsi="Times New Roman"/>
      </w:rPr>
    </w:lvl>
    <w:lvl w:ilvl="8" w:tplc="040C001B">
      <w:start w:val="1"/>
      <w:numFmt w:val="decimal"/>
      <w:lvlText w:val="%9."/>
      <w:lvlJc w:val="left"/>
      <w:pPr>
        <w:tabs>
          <w:tab w:val="num" w:pos="6480"/>
        </w:tabs>
        <w:ind w:left="6480" w:hanging="360"/>
      </w:pPr>
      <w:rPr>
        <w:rFonts w:ascii="Times New Roman" w:hAnsi="Times New Roman"/>
      </w:rPr>
    </w:lvl>
  </w:abstractNum>
  <w:num w:numId="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F0C"/>
    <w:rsid w:val="000857C6"/>
    <w:rsid w:val="00094C2A"/>
    <w:rsid w:val="00125109"/>
    <w:rsid w:val="001F4CA4"/>
    <w:rsid w:val="00280D92"/>
    <w:rsid w:val="002F2C3F"/>
    <w:rsid w:val="004174A0"/>
    <w:rsid w:val="00462689"/>
    <w:rsid w:val="004D5B7F"/>
    <w:rsid w:val="00585D4D"/>
    <w:rsid w:val="005B0177"/>
    <w:rsid w:val="005F4322"/>
    <w:rsid w:val="006147B3"/>
    <w:rsid w:val="006D28C8"/>
    <w:rsid w:val="006E161F"/>
    <w:rsid w:val="00713CBB"/>
    <w:rsid w:val="007649B7"/>
    <w:rsid w:val="00835B2D"/>
    <w:rsid w:val="00873B41"/>
    <w:rsid w:val="008756AF"/>
    <w:rsid w:val="008D698E"/>
    <w:rsid w:val="00A437EF"/>
    <w:rsid w:val="00C032EB"/>
    <w:rsid w:val="00C24827"/>
    <w:rsid w:val="00D32340"/>
    <w:rsid w:val="00D87EBA"/>
    <w:rsid w:val="00DE243D"/>
    <w:rsid w:val="00E03AFF"/>
    <w:rsid w:val="00E44985"/>
    <w:rsid w:val="00E76F0C"/>
    <w:rsid w:val="00F7545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C2A"/>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9"/>
    <w:qFormat/>
    <w:rsid w:val="00094C2A"/>
    <w:pPr>
      <w:keepNext/>
      <w:outlineLvl w:val="0"/>
    </w:pPr>
    <w:rPr>
      <w:rFonts w:ascii="Arial" w:eastAsia="Arial Unicode MS" w:hAnsi="Arial" w:cs="Arial"/>
      <w:sz w:val="40"/>
      <w:szCs w:val="40"/>
    </w:rPr>
  </w:style>
  <w:style w:type="paragraph" w:styleId="Titre2">
    <w:name w:val="heading 2"/>
    <w:basedOn w:val="Normal"/>
    <w:next w:val="Normal"/>
    <w:link w:val="Titre2Car"/>
    <w:uiPriority w:val="9"/>
    <w:semiHidden/>
    <w:unhideWhenUsed/>
    <w:qFormat/>
    <w:rsid w:val="008D698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4">
    <w:name w:val="heading 4"/>
    <w:basedOn w:val="Normal"/>
    <w:next w:val="Normal"/>
    <w:link w:val="Titre4Car"/>
    <w:uiPriority w:val="9"/>
    <w:semiHidden/>
    <w:unhideWhenUsed/>
    <w:qFormat/>
    <w:rsid w:val="008D698E"/>
    <w:pPr>
      <w:keepNext/>
      <w:keepLines/>
      <w:spacing w:before="20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094C2A"/>
    <w:rPr>
      <w:rFonts w:ascii="Arial" w:eastAsia="Arial Unicode MS" w:hAnsi="Arial" w:cs="Arial"/>
      <w:sz w:val="40"/>
      <w:szCs w:val="40"/>
      <w:lang w:eastAsia="fr-FR"/>
    </w:rPr>
  </w:style>
  <w:style w:type="paragraph" w:styleId="Paragraphedeliste">
    <w:name w:val="List Paragraph"/>
    <w:basedOn w:val="Normal"/>
    <w:uiPriority w:val="99"/>
    <w:qFormat/>
    <w:rsid w:val="00094C2A"/>
    <w:pPr>
      <w:ind w:left="708"/>
    </w:pPr>
  </w:style>
  <w:style w:type="character" w:customStyle="1" w:styleId="Titre2Car">
    <w:name w:val="Titre 2 Car"/>
    <w:basedOn w:val="Policepardfaut"/>
    <w:link w:val="Titre2"/>
    <w:uiPriority w:val="9"/>
    <w:semiHidden/>
    <w:rsid w:val="008D698E"/>
    <w:rPr>
      <w:rFonts w:asciiTheme="majorHAnsi" w:eastAsiaTheme="majorEastAsia" w:hAnsiTheme="majorHAnsi" w:cstheme="majorBidi"/>
      <w:b/>
      <w:bCs/>
      <w:color w:val="4F81BD" w:themeColor="accent1"/>
      <w:sz w:val="26"/>
      <w:szCs w:val="26"/>
      <w:lang w:eastAsia="fr-FR"/>
    </w:rPr>
  </w:style>
  <w:style w:type="character" w:customStyle="1" w:styleId="Titre4Car">
    <w:name w:val="Titre 4 Car"/>
    <w:basedOn w:val="Policepardfaut"/>
    <w:link w:val="Titre4"/>
    <w:uiPriority w:val="9"/>
    <w:semiHidden/>
    <w:rsid w:val="008D698E"/>
    <w:rPr>
      <w:rFonts w:asciiTheme="majorHAnsi" w:eastAsiaTheme="majorEastAsia" w:hAnsiTheme="majorHAnsi" w:cstheme="majorBidi"/>
      <w:b/>
      <w:bCs/>
      <w:i/>
      <w:iCs/>
      <w:color w:val="4F81BD" w:themeColor="accent1"/>
      <w:sz w:val="24"/>
      <w:szCs w:val="24"/>
      <w:lang w:eastAsia="fr-FR"/>
    </w:rPr>
  </w:style>
  <w:style w:type="paragraph" w:styleId="En-tte">
    <w:name w:val="header"/>
    <w:basedOn w:val="Normal"/>
    <w:link w:val="En-tteCar"/>
    <w:uiPriority w:val="99"/>
    <w:unhideWhenUsed/>
    <w:rsid w:val="00873B41"/>
    <w:pPr>
      <w:tabs>
        <w:tab w:val="center" w:pos="4536"/>
        <w:tab w:val="right" w:pos="9072"/>
      </w:tabs>
    </w:pPr>
  </w:style>
  <w:style w:type="character" w:customStyle="1" w:styleId="En-tteCar">
    <w:name w:val="En-tête Car"/>
    <w:basedOn w:val="Policepardfaut"/>
    <w:link w:val="En-tte"/>
    <w:uiPriority w:val="99"/>
    <w:rsid w:val="00873B41"/>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873B41"/>
    <w:pPr>
      <w:tabs>
        <w:tab w:val="center" w:pos="4536"/>
        <w:tab w:val="right" w:pos="9072"/>
      </w:tabs>
    </w:pPr>
  </w:style>
  <w:style w:type="character" w:customStyle="1" w:styleId="PieddepageCar">
    <w:name w:val="Pied de page Car"/>
    <w:basedOn w:val="Policepardfaut"/>
    <w:link w:val="Pieddepage"/>
    <w:uiPriority w:val="99"/>
    <w:rsid w:val="00873B41"/>
    <w:rPr>
      <w:rFonts w:ascii="Times New Roman" w:eastAsia="Times New Roman" w:hAnsi="Times New Roman" w:cs="Times New Roman"/>
      <w:sz w:val="24"/>
      <w:szCs w:val="24"/>
      <w:lang w:eastAsia="fr-FR"/>
    </w:rPr>
  </w:style>
  <w:style w:type="table" w:styleId="Grilledutableau">
    <w:name w:val="Table Grid"/>
    <w:basedOn w:val="TableauNormal"/>
    <w:uiPriority w:val="59"/>
    <w:rsid w:val="006147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C2A"/>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9"/>
    <w:qFormat/>
    <w:rsid w:val="00094C2A"/>
    <w:pPr>
      <w:keepNext/>
      <w:outlineLvl w:val="0"/>
    </w:pPr>
    <w:rPr>
      <w:rFonts w:ascii="Arial" w:eastAsia="Arial Unicode MS" w:hAnsi="Arial" w:cs="Arial"/>
      <w:sz w:val="40"/>
      <w:szCs w:val="40"/>
    </w:rPr>
  </w:style>
  <w:style w:type="paragraph" w:styleId="Titre2">
    <w:name w:val="heading 2"/>
    <w:basedOn w:val="Normal"/>
    <w:next w:val="Normal"/>
    <w:link w:val="Titre2Car"/>
    <w:uiPriority w:val="9"/>
    <w:semiHidden/>
    <w:unhideWhenUsed/>
    <w:qFormat/>
    <w:rsid w:val="008D698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4">
    <w:name w:val="heading 4"/>
    <w:basedOn w:val="Normal"/>
    <w:next w:val="Normal"/>
    <w:link w:val="Titre4Car"/>
    <w:uiPriority w:val="9"/>
    <w:semiHidden/>
    <w:unhideWhenUsed/>
    <w:qFormat/>
    <w:rsid w:val="008D698E"/>
    <w:pPr>
      <w:keepNext/>
      <w:keepLines/>
      <w:spacing w:before="20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094C2A"/>
    <w:rPr>
      <w:rFonts w:ascii="Arial" w:eastAsia="Arial Unicode MS" w:hAnsi="Arial" w:cs="Arial"/>
      <w:sz w:val="40"/>
      <w:szCs w:val="40"/>
      <w:lang w:eastAsia="fr-FR"/>
    </w:rPr>
  </w:style>
  <w:style w:type="paragraph" w:styleId="Paragraphedeliste">
    <w:name w:val="List Paragraph"/>
    <w:basedOn w:val="Normal"/>
    <w:uiPriority w:val="99"/>
    <w:qFormat/>
    <w:rsid w:val="00094C2A"/>
    <w:pPr>
      <w:ind w:left="708"/>
    </w:pPr>
  </w:style>
  <w:style w:type="character" w:customStyle="1" w:styleId="Titre2Car">
    <w:name w:val="Titre 2 Car"/>
    <w:basedOn w:val="Policepardfaut"/>
    <w:link w:val="Titre2"/>
    <w:uiPriority w:val="9"/>
    <w:semiHidden/>
    <w:rsid w:val="008D698E"/>
    <w:rPr>
      <w:rFonts w:asciiTheme="majorHAnsi" w:eastAsiaTheme="majorEastAsia" w:hAnsiTheme="majorHAnsi" w:cstheme="majorBidi"/>
      <w:b/>
      <w:bCs/>
      <w:color w:val="4F81BD" w:themeColor="accent1"/>
      <w:sz w:val="26"/>
      <w:szCs w:val="26"/>
      <w:lang w:eastAsia="fr-FR"/>
    </w:rPr>
  </w:style>
  <w:style w:type="character" w:customStyle="1" w:styleId="Titre4Car">
    <w:name w:val="Titre 4 Car"/>
    <w:basedOn w:val="Policepardfaut"/>
    <w:link w:val="Titre4"/>
    <w:uiPriority w:val="9"/>
    <w:semiHidden/>
    <w:rsid w:val="008D698E"/>
    <w:rPr>
      <w:rFonts w:asciiTheme="majorHAnsi" w:eastAsiaTheme="majorEastAsia" w:hAnsiTheme="majorHAnsi" w:cstheme="majorBidi"/>
      <w:b/>
      <w:bCs/>
      <w:i/>
      <w:iCs/>
      <w:color w:val="4F81BD" w:themeColor="accent1"/>
      <w:sz w:val="24"/>
      <w:szCs w:val="24"/>
      <w:lang w:eastAsia="fr-FR"/>
    </w:rPr>
  </w:style>
  <w:style w:type="paragraph" w:styleId="En-tte">
    <w:name w:val="header"/>
    <w:basedOn w:val="Normal"/>
    <w:link w:val="En-tteCar"/>
    <w:uiPriority w:val="99"/>
    <w:unhideWhenUsed/>
    <w:rsid w:val="00873B41"/>
    <w:pPr>
      <w:tabs>
        <w:tab w:val="center" w:pos="4536"/>
        <w:tab w:val="right" w:pos="9072"/>
      </w:tabs>
    </w:pPr>
  </w:style>
  <w:style w:type="character" w:customStyle="1" w:styleId="En-tteCar">
    <w:name w:val="En-tête Car"/>
    <w:basedOn w:val="Policepardfaut"/>
    <w:link w:val="En-tte"/>
    <w:uiPriority w:val="99"/>
    <w:rsid w:val="00873B41"/>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873B41"/>
    <w:pPr>
      <w:tabs>
        <w:tab w:val="center" w:pos="4536"/>
        <w:tab w:val="right" w:pos="9072"/>
      </w:tabs>
    </w:pPr>
  </w:style>
  <w:style w:type="character" w:customStyle="1" w:styleId="PieddepageCar">
    <w:name w:val="Pied de page Car"/>
    <w:basedOn w:val="Policepardfaut"/>
    <w:link w:val="Pieddepage"/>
    <w:uiPriority w:val="99"/>
    <w:rsid w:val="00873B41"/>
    <w:rPr>
      <w:rFonts w:ascii="Times New Roman" w:eastAsia="Times New Roman" w:hAnsi="Times New Roman" w:cs="Times New Roman"/>
      <w:sz w:val="24"/>
      <w:szCs w:val="24"/>
      <w:lang w:eastAsia="fr-FR"/>
    </w:rPr>
  </w:style>
  <w:style w:type="table" w:styleId="Grilledutableau">
    <w:name w:val="Table Grid"/>
    <w:basedOn w:val="TableauNormal"/>
    <w:uiPriority w:val="59"/>
    <w:rsid w:val="006147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1300</Words>
  <Characters>7150</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Thales</Company>
  <LinksUpToDate>false</LinksUpToDate>
  <CharactersWithSpaces>8434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BEAUFILS Gilles</dc:creator>
  <cp:keywords/>
  <dc:description/>
  <cp:lastModifiedBy>T0086357</cp:lastModifiedBy>
  <cp:revision>10</cp:revision>
  <dcterms:created xsi:type="dcterms:W3CDTF">2014-01-27T15:38:00Z</dcterms:created>
  <dcterms:modified xsi:type="dcterms:W3CDTF">2014-01-28T09:25:00Z</dcterms:modified>
</cp:coreProperties>
</file>